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F0429" w14:textId="1FB07169" w:rsidR="00405586" w:rsidRPr="003553DC" w:rsidRDefault="00405586" w:rsidP="00405586">
      <w:pPr>
        <w:jc w:val="center"/>
        <w:rPr>
          <w:rFonts w:ascii="Times New Roman" w:hAnsi="Times New Roman" w:cs="Times New Roman"/>
          <w:b/>
          <w:bCs/>
          <w:sz w:val="28"/>
          <w:szCs w:val="28"/>
        </w:rPr>
      </w:pPr>
      <w:r w:rsidRPr="003553DC">
        <w:rPr>
          <w:rFonts w:ascii="Times New Roman" w:hAnsi="Times New Roman" w:cs="Times New Roman"/>
          <w:b/>
          <w:bCs/>
          <w:sz w:val="28"/>
          <w:szCs w:val="28"/>
        </w:rPr>
        <w:t>School Health Influences Technical Education Students’ Learning Outcomes in Cambodia</w:t>
      </w:r>
    </w:p>
    <w:p w14:paraId="3A0A4D54" w14:textId="08C0E24F" w:rsidR="007A7629" w:rsidRDefault="00405586" w:rsidP="0017722B">
      <w:pPr>
        <w:spacing w:after="0" w:line="240" w:lineRule="auto"/>
        <w:jc w:val="center"/>
        <w:rPr>
          <w:rFonts w:ascii="Times New Roman" w:hAnsi="Times New Roman" w:cs="Times New Roman"/>
        </w:rPr>
      </w:pPr>
      <w:proofErr w:type="spellStart"/>
      <w:r w:rsidRPr="0054181F">
        <w:rPr>
          <w:rFonts w:ascii="Times New Roman" w:hAnsi="Times New Roman" w:cs="Times New Roman"/>
        </w:rPr>
        <w:t>Songheang</w:t>
      </w:r>
      <w:proofErr w:type="spellEnd"/>
      <w:r w:rsidRPr="0054181F">
        <w:rPr>
          <w:rFonts w:ascii="Times New Roman" w:hAnsi="Times New Roman" w:cs="Times New Roman"/>
        </w:rPr>
        <w:t xml:space="preserve"> Ai</w:t>
      </w:r>
      <w:r w:rsidR="007B6FDF">
        <w:rPr>
          <w:rStyle w:val="FootnoteReference"/>
          <w:rFonts w:ascii="Times New Roman" w:hAnsi="Times New Roman" w:cs="Times New Roman"/>
        </w:rPr>
        <w:footnoteReference w:id="1"/>
      </w:r>
      <w:r w:rsidR="0017722B">
        <w:rPr>
          <w:rFonts w:ascii="Times New Roman" w:hAnsi="Times New Roman" w:cs="Times New Roman"/>
        </w:rPr>
        <w:t xml:space="preserve">, </w:t>
      </w:r>
      <w:proofErr w:type="spellStart"/>
      <w:r w:rsidRPr="0054181F">
        <w:rPr>
          <w:rFonts w:ascii="Times New Roman" w:hAnsi="Times New Roman" w:cs="Times New Roman"/>
        </w:rPr>
        <w:t>Vorn</w:t>
      </w:r>
      <w:proofErr w:type="spellEnd"/>
      <w:r w:rsidRPr="0054181F">
        <w:rPr>
          <w:rFonts w:ascii="Times New Roman" w:hAnsi="Times New Roman" w:cs="Times New Roman"/>
        </w:rPr>
        <w:t xml:space="preserve"> Tim</w:t>
      </w:r>
      <w:r w:rsidR="007B6FDF">
        <w:rPr>
          <w:rStyle w:val="FootnoteReference"/>
          <w:rFonts w:ascii="Times New Roman" w:hAnsi="Times New Roman" w:cs="Times New Roman"/>
        </w:rPr>
        <w:footnoteReference w:id="2"/>
      </w:r>
      <w:r w:rsidR="0017722B">
        <w:rPr>
          <w:rFonts w:ascii="Times New Roman" w:hAnsi="Times New Roman" w:cs="Times New Roman"/>
        </w:rPr>
        <w:t xml:space="preserve">, </w:t>
      </w:r>
      <w:proofErr w:type="spellStart"/>
      <w:r w:rsidR="007A7629" w:rsidRPr="0054181F">
        <w:rPr>
          <w:rFonts w:ascii="Times New Roman" w:hAnsi="Times New Roman" w:cs="Times New Roman"/>
        </w:rPr>
        <w:t>Salorn</w:t>
      </w:r>
      <w:proofErr w:type="spellEnd"/>
      <w:r w:rsidR="007A7629" w:rsidRPr="0054181F">
        <w:rPr>
          <w:rFonts w:ascii="Times New Roman" w:hAnsi="Times New Roman" w:cs="Times New Roman"/>
        </w:rPr>
        <w:t xml:space="preserve"> </w:t>
      </w:r>
      <w:proofErr w:type="spellStart"/>
      <w:r w:rsidR="007A7629" w:rsidRPr="0054181F">
        <w:rPr>
          <w:rFonts w:ascii="Times New Roman" w:hAnsi="Times New Roman" w:cs="Times New Roman"/>
        </w:rPr>
        <w:t>Lors</w:t>
      </w:r>
      <w:proofErr w:type="spellEnd"/>
      <w:r w:rsidR="007B6FDF">
        <w:rPr>
          <w:rStyle w:val="FootnoteReference"/>
          <w:rFonts w:ascii="Times New Roman" w:hAnsi="Times New Roman" w:cs="Times New Roman"/>
        </w:rPr>
        <w:footnoteReference w:id="3"/>
      </w:r>
      <w:r w:rsidR="00FB7860">
        <w:rPr>
          <w:rFonts w:ascii="Times New Roman" w:hAnsi="Times New Roman" w:cs="Times New Roman"/>
        </w:rPr>
        <w:t xml:space="preserve"> </w:t>
      </w:r>
    </w:p>
    <w:p w14:paraId="58943F1B" w14:textId="77777777" w:rsidR="0059049F" w:rsidRPr="0054181F" w:rsidRDefault="0059049F" w:rsidP="0017722B">
      <w:pPr>
        <w:spacing w:after="0" w:line="240" w:lineRule="auto"/>
        <w:jc w:val="center"/>
        <w:rPr>
          <w:rFonts w:ascii="Times New Roman" w:hAnsi="Times New Roman" w:cs="Times New Roman"/>
        </w:rPr>
      </w:pPr>
    </w:p>
    <w:p w14:paraId="4AAF5D9A" w14:textId="4B486AF8" w:rsidR="00405586" w:rsidRPr="00667C76" w:rsidRDefault="00405586" w:rsidP="00405586">
      <w:pPr>
        <w:jc w:val="center"/>
        <w:rPr>
          <w:rFonts w:ascii="Times New Roman" w:hAnsi="Times New Roman" w:cs="Times New Roman"/>
          <w:b/>
          <w:bCs/>
          <w:sz w:val="24"/>
          <w:szCs w:val="24"/>
        </w:rPr>
      </w:pPr>
      <w:r w:rsidRPr="00667C76">
        <w:rPr>
          <w:rFonts w:ascii="Times New Roman" w:hAnsi="Times New Roman" w:cs="Times New Roman"/>
          <w:b/>
          <w:bCs/>
          <w:sz w:val="24"/>
          <w:szCs w:val="24"/>
        </w:rPr>
        <w:t>Abstract</w:t>
      </w:r>
    </w:p>
    <w:p w14:paraId="343C985E" w14:textId="62357CDD" w:rsidR="00405586" w:rsidRDefault="00405586" w:rsidP="003D705F">
      <w:pPr>
        <w:spacing w:line="360" w:lineRule="auto"/>
        <w:jc w:val="both"/>
        <w:rPr>
          <w:rFonts w:ascii="Times New Roman" w:hAnsi="Times New Roman" w:cs="Times New Roman"/>
          <w:sz w:val="24"/>
          <w:szCs w:val="24"/>
        </w:rPr>
      </w:pPr>
      <w:r w:rsidRPr="00405586">
        <w:rPr>
          <w:rFonts w:ascii="Times New Roman" w:hAnsi="Times New Roman" w:cs="Times New Roman"/>
          <w:sz w:val="24"/>
          <w:szCs w:val="24"/>
        </w:rPr>
        <w:t>S</w:t>
      </w:r>
      <w:r w:rsidR="00AD388D">
        <w:rPr>
          <w:rFonts w:ascii="Times New Roman" w:hAnsi="Times New Roman" w:cs="Times New Roman"/>
          <w:sz w:val="24"/>
          <w:szCs w:val="24"/>
        </w:rPr>
        <w:t xml:space="preserve">chool health may reflect inclusive environment </w:t>
      </w:r>
      <w:r w:rsidR="00B47C3C">
        <w:rPr>
          <w:rFonts w:ascii="Times New Roman" w:hAnsi="Times New Roman" w:cs="Times New Roman"/>
          <w:sz w:val="24"/>
          <w:szCs w:val="24"/>
        </w:rPr>
        <w:t>supporting</w:t>
      </w:r>
      <w:r w:rsidR="003D705F">
        <w:rPr>
          <w:rFonts w:ascii="Times New Roman" w:hAnsi="Times New Roman" w:cs="Times New Roman"/>
          <w:sz w:val="24"/>
          <w:szCs w:val="24"/>
        </w:rPr>
        <w:t xml:space="preserve"> students to learn, grow and develop healthy habits overtime. </w:t>
      </w:r>
      <w:r w:rsidR="00B47C3C">
        <w:rPr>
          <w:rFonts w:ascii="Times New Roman" w:hAnsi="Times New Roman" w:cs="Times New Roman"/>
          <w:sz w:val="24"/>
          <w:szCs w:val="24"/>
        </w:rPr>
        <w:t xml:space="preserve">In recent years, educators and specialists have highlighted an alert about the increasing </w:t>
      </w:r>
      <w:r w:rsidR="00C419BB">
        <w:rPr>
          <w:rFonts w:ascii="Times New Roman" w:hAnsi="Times New Roman" w:cs="Times New Roman"/>
          <w:sz w:val="24"/>
          <w:szCs w:val="24"/>
        </w:rPr>
        <w:t>problem</w:t>
      </w:r>
      <w:r w:rsidR="00B47C3C">
        <w:rPr>
          <w:rFonts w:ascii="Times New Roman" w:hAnsi="Times New Roman" w:cs="Times New Roman"/>
          <w:sz w:val="24"/>
          <w:szCs w:val="24"/>
        </w:rPr>
        <w:t xml:space="preserve"> </w:t>
      </w:r>
      <w:r w:rsidR="00D1324C">
        <w:rPr>
          <w:rFonts w:ascii="Times New Roman" w:hAnsi="Times New Roman" w:cs="Times New Roman"/>
          <w:sz w:val="24"/>
          <w:szCs w:val="24"/>
        </w:rPr>
        <w:t xml:space="preserve">of school health such as pandemic impact, food and nutrition, sanitation, and so on. </w:t>
      </w:r>
      <w:r w:rsidR="00A6276C">
        <w:rPr>
          <w:rFonts w:ascii="Times New Roman" w:hAnsi="Times New Roman" w:cs="Times New Roman"/>
          <w:sz w:val="24"/>
          <w:szCs w:val="24"/>
        </w:rPr>
        <w:t>A few studies explored the</w:t>
      </w:r>
      <w:r w:rsidR="00E4302D">
        <w:rPr>
          <w:rFonts w:ascii="Times New Roman" w:hAnsi="Times New Roman" w:cs="Times New Roman"/>
          <w:sz w:val="24"/>
          <w:szCs w:val="24"/>
        </w:rPr>
        <w:t xml:space="preserve"> matters affect</w:t>
      </w:r>
      <w:r w:rsidR="00A6276C">
        <w:rPr>
          <w:rFonts w:ascii="Times New Roman" w:hAnsi="Times New Roman" w:cs="Times New Roman"/>
          <w:sz w:val="24"/>
          <w:szCs w:val="24"/>
        </w:rPr>
        <w:t>ing</w:t>
      </w:r>
      <w:r w:rsidR="00E4302D">
        <w:rPr>
          <w:rFonts w:ascii="Times New Roman" w:hAnsi="Times New Roman" w:cs="Times New Roman"/>
          <w:sz w:val="24"/>
          <w:szCs w:val="24"/>
        </w:rPr>
        <w:t xml:space="preserve"> students’ learning outcomes. </w:t>
      </w:r>
      <w:r w:rsidR="00693B2F">
        <w:rPr>
          <w:rFonts w:ascii="Times New Roman" w:hAnsi="Times New Roman" w:cs="Times New Roman"/>
          <w:sz w:val="24"/>
          <w:szCs w:val="24"/>
        </w:rPr>
        <w:t xml:space="preserve">This correlational study </w:t>
      </w:r>
      <w:r w:rsidR="002C48A0">
        <w:rPr>
          <w:rFonts w:ascii="Times New Roman" w:hAnsi="Times New Roman" w:cs="Times New Roman"/>
          <w:sz w:val="24"/>
          <w:szCs w:val="24"/>
        </w:rPr>
        <w:t xml:space="preserve">examines the </w:t>
      </w:r>
      <w:r w:rsidR="00E602E8">
        <w:rPr>
          <w:rFonts w:ascii="Times New Roman" w:hAnsi="Times New Roman" w:cs="Times New Roman"/>
          <w:sz w:val="24"/>
          <w:szCs w:val="24"/>
        </w:rPr>
        <w:t>relationship between school health and students’ learning outcomes</w:t>
      </w:r>
      <w:r w:rsidR="00B1308F">
        <w:rPr>
          <w:rFonts w:ascii="Times New Roman" w:hAnsi="Times New Roman" w:cs="Times New Roman"/>
          <w:sz w:val="24"/>
          <w:szCs w:val="24"/>
        </w:rPr>
        <w:t xml:space="preserve"> to 408 technical education students</w:t>
      </w:r>
      <w:r w:rsidR="00E602E8">
        <w:rPr>
          <w:rFonts w:ascii="Times New Roman" w:hAnsi="Times New Roman" w:cs="Times New Roman"/>
          <w:sz w:val="24"/>
          <w:szCs w:val="24"/>
        </w:rPr>
        <w:t xml:space="preserve">. </w:t>
      </w:r>
      <w:r w:rsidR="00801A78">
        <w:rPr>
          <w:rFonts w:ascii="Times New Roman" w:hAnsi="Times New Roman" w:cs="Times New Roman"/>
          <w:sz w:val="24"/>
          <w:szCs w:val="24"/>
        </w:rPr>
        <w:t>The linear</w:t>
      </w:r>
      <w:r w:rsidR="00115641">
        <w:rPr>
          <w:rFonts w:ascii="Times New Roman" w:hAnsi="Times New Roman" w:cs="Times New Roman"/>
          <w:sz w:val="24"/>
          <w:szCs w:val="24"/>
        </w:rPr>
        <w:t xml:space="preserve"> regress was employed to </w:t>
      </w:r>
      <w:r w:rsidR="00D110BB">
        <w:rPr>
          <w:rFonts w:ascii="Times New Roman" w:hAnsi="Times New Roman" w:cs="Times New Roman"/>
          <w:sz w:val="24"/>
          <w:szCs w:val="24"/>
        </w:rPr>
        <w:t>examine the relationship between school health and students’ learning outcomes (</w:t>
      </w:r>
      <w:r w:rsidR="00D110BB">
        <w:rPr>
          <w:rFonts w:ascii="STSong" w:eastAsia="STSong" w:hAnsi="STSong" w:cs="Times New Roman" w:hint="eastAsia"/>
          <w:sz w:val="24"/>
          <w:szCs w:val="24"/>
        </w:rPr>
        <w:t>β</w:t>
      </w:r>
      <w:r w:rsidR="00D110BB">
        <w:rPr>
          <w:rFonts w:ascii="Times New Roman" w:hAnsi="Times New Roman" w:cs="Times New Roman"/>
          <w:sz w:val="24"/>
          <w:szCs w:val="24"/>
        </w:rPr>
        <w:t>=.57</w:t>
      </w:r>
      <w:r w:rsidR="001A6D52">
        <w:rPr>
          <w:rFonts w:ascii="Times New Roman" w:hAnsi="Times New Roman" w:cs="Times New Roman"/>
          <w:sz w:val="24"/>
          <w:szCs w:val="24"/>
        </w:rPr>
        <w:t>6; r</w:t>
      </w:r>
      <w:r w:rsidR="001A6D52">
        <w:rPr>
          <w:rFonts w:ascii="Times New Roman" w:hAnsi="Times New Roman" w:cs="Times New Roman"/>
          <w:sz w:val="24"/>
          <w:szCs w:val="24"/>
          <w:vertAlign w:val="superscript"/>
        </w:rPr>
        <w:t>2</w:t>
      </w:r>
      <w:r w:rsidR="001A6D52">
        <w:rPr>
          <w:rFonts w:ascii="Times New Roman" w:hAnsi="Times New Roman" w:cs="Times New Roman"/>
          <w:sz w:val="24"/>
          <w:szCs w:val="24"/>
        </w:rPr>
        <w:t>=.33; t=7.48; F (1, 406</w:t>
      </w:r>
      <w:r w:rsidR="004A6B6A">
        <w:rPr>
          <w:rFonts w:ascii="Times New Roman" w:hAnsi="Times New Roman" w:cs="Times New Roman"/>
          <w:sz w:val="24"/>
          <w:szCs w:val="24"/>
        </w:rPr>
        <w:t>)</w:t>
      </w:r>
      <w:r w:rsidR="000D770A">
        <w:rPr>
          <w:rFonts w:ascii="Times New Roman" w:hAnsi="Times New Roman" w:cs="Times New Roman"/>
          <w:sz w:val="24"/>
          <w:szCs w:val="24"/>
        </w:rPr>
        <w:t xml:space="preserve"> </w:t>
      </w:r>
      <w:r w:rsidR="001A6D52">
        <w:rPr>
          <w:rFonts w:ascii="Times New Roman" w:hAnsi="Times New Roman" w:cs="Times New Roman"/>
          <w:sz w:val="24"/>
          <w:szCs w:val="24"/>
        </w:rPr>
        <w:t>=201.62; P=.000</w:t>
      </w:r>
      <w:r w:rsidR="00D110BB">
        <w:rPr>
          <w:rFonts w:ascii="Times New Roman" w:hAnsi="Times New Roman" w:cs="Times New Roman"/>
          <w:sz w:val="24"/>
          <w:szCs w:val="24"/>
        </w:rPr>
        <w:t>)</w:t>
      </w:r>
      <w:r w:rsidR="00236BF3">
        <w:rPr>
          <w:rFonts w:ascii="Times New Roman" w:hAnsi="Times New Roman" w:cs="Times New Roman"/>
          <w:sz w:val="24"/>
          <w:szCs w:val="24"/>
        </w:rPr>
        <w:t xml:space="preserve"> meaning that they have strong relationship</w:t>
      </w:r>
      <w:r w:rsidR="00D110BB">
        <w:rPr>
          <w:rFonts w:ascii="Times New Roman" w:hAnsi="Times New Roman" w:cs="Times New Roman"/>
          <w:sz w:val="24"/>
          <w:szCs w:val="24"/>
        </w:rPr>
        <w:t>.</w:t>
      </w:r>
      <w:r w:rsidR="008E4B18">
        <w:rPr>
          <w:rFonts w:ascii="Times New Roman" w:hAnsi="Times New Roman" w:cs="Times New Roman"/>
          <w:sz w:val="24"/>
          <w:szCs w:val="24"/>
        </w:rPr>
        <w:t xml:space="preserve"> </w:t>
      </w:r>
      <w:r w:rsidR="008A36B2">
        <w:rPr>
          <w:rFonts w:ascii="Times New Roman" w:hAnsi="Times New Roman" w:cs="Times New Roman"/>
          <w:sz w:val="24"/>
          <w:szCs w:val="24"/>
        </w:rPr>
        <w:t>The students’ socio-economic status didn’t predict learning outcomes (r</w:t>
      </w:r>
      <w:r w:rsidR="000057F7">
        <w:rPr>
          <w:rFonts w:ascii="Times New Roman" w:hAnsi="Times New Roman" w:cs="Times New Roman"/>
          <w:sz w:val="24"/>
          <w:szCs w:val="24"/>
          <w:vertAlign w:val="superscript"/>
        </w:rPr>
        <w:t>2</w:t>
      </w:r>
      <w:r w:rsidR="008A36B2">
        <w:rPr>
          <w:rFonts w:ascii="Times New Roman" w:hAnsi="Times New Roman" w:cs="Times New Roman"/>
          <w:sz w:val="24"/>
          <w:szCs w:val="24"/>
        </w:rPr>
        <w:t xml:space="preserve">=.001; t=26.96; F (1, </w:t>
      </w:r>
      <w:r w:rsidR="000D770A">
        <w:rPr>
          <w:rFonts w:ascii="Times New Roman" w:hAnsi="Times New Roman" w:cs="Times New Roman"/>
          <w:sz w:val="24"/>
          <w:szCs w:val="24"/>
        </w:rPr>
        <w:t>406) =</w:t>
      </w:r>
      <w:r w:rsidR="008A36B2">
        <w:rPr>
          <w:rFonts w:ascii="Times New Roman" w:hAnsi="Times New Roman" w:cs="Times New Roman"/>
          <w:sz w:val="24"/>
          <w:szCs w:val="24"/>
        </w:rPr>
        <w:t xml:space="preserve">.531; P=.467). </w:t>
      </w:r>
      <w:r w:rsidR="00F21B14">
        <w:rPr>
          <w:rFonts w:ascii="Times New Roman" w:hAnsi="Times New Roman" w:cs="Times New Roman"/>
          <w:sz w:val="24"/>
          <w:szCs w:val="24"/>
        </w:rPr>
        <w:t xml:space="preserve">To test hypotheses, independent sample t-test and one-way ANOVA were used. </w:t>
      </w:r>
      <w:r w:rsidR="006171A8">
        <w:rPr>
          <w:rFonts w:ascii="Times New Roman" w:hAnsi="Times New Roman" w:cs="Times New Roman"/>
          <w:sz w:val="24"/>
          <w:szCs w:val="24"/>
        </w:rPr>
        <w:t xml:space="preserve">The paper suggests to focus on </w:t>
      </w:r>
      <w:r w:rsidR="00236BF3">
        <w:rPr>
          <w:rFonts w:ascii="Times New Roman" w:hAnsi="Times New Roman" w:cs="Times New Roman"/>
          <w:sz w:val="24"/>
          <w:szCs w:val="24"/>
        </w:rPr>
        <w:t xml:space="preserve">school health promotion programs such as school canteens and school health policies with well-trained health officers.  </w:t>
      </w:r>
    </w:p>
    <w:p w14:paraId="30786CF9" w14:textId="77910284" w:rsidR="002E4E2C" w:rsidRPr="002E4E2C" w:rsidRDefault="002E4E2C" w:rsidP="003D705F">
      <w:pPr>
        <w:spacing w:line="360" w:lineRule="auto"/>
        <w:jc w:val="both"/>
        <w:rPr>
          <w:rFonts w:ascii="Times New Roman" w:hAnsi="Times New Roman" w:cs="Times New Roman"/>
          <w:i/>
          <w:iCs/>
          <w:sz w:val="24"/>
          <w:szCs w:val="24"/>
        </w:rPr>
      </w:pPr>
      <w:r w:rsidRPr="002E4E2C">
        <w:rPr>
          <w:rFonts w:ascii="Times New Roman" w:hAnsi="Times New Roman" w:cs="Times New Roman"/>
          <w:i/>
          <w:iCs/>
          <w:sz w:val="24"/>
          <w:szCs w:val="24"/>
        </w:rPr>
        <w:t xml:space="preserve">Key words: school health, learning outcome, technical education, general and technical high school. </w:t>
      </w:r>
    </w:p>
    <w:p w14:paraId="4417A9EE" w14:textId="5ADEEFBE" w:rsidR="00A94F5F" w:rsidRDefault="00A94F5F" w:rsidP="003D705F">
      <w:pPr>
        <w:spacing w:line="360" w:lineRule="auto"/>
        <w:jc w:val="both"/>
        <w:rPr>
          <w:rFonts w:ascii="Times New Roman" w:hAnsi="Times New Roman" w:cs="Times New Roman"/>
          <w:sz w:val="24"/>
          <w:szCs w:val="24"/>
        </w:rPr>
      </w:pPr>
    </w:p>
    <w:p w14:paraId="35A03586" w14:textId="5E3225ED" w:rsidR="00A94F5F" w:rsidRDefault="00A94F5F" w:rsidP="003D705F">
      <w:pPr>
        <w:spacing w:line="360" w:lineRule="auto"/>
        <w:jc w:val="both"/>
        <w:rPr>
          <w:rFonts w:ascii="Times New Roman" w:hAnsi="Times New Roman" w:cs="Times New Roman"/>
          <w:sz w:val="24"/>
          <w:szCs w:val="24"/>
        </w:rPr>
      </w:pPr>
    </w:p>
    <w:p w14:paraId="44E5E38B" w14:textId="42571B4B" w:rsidR="00A94F5F" w:rsidRDefault="00A94F5F" w:rsidP="003D705F">
      <w:pPr>
        <w:spacing w:line="360" w:lineRule="auto"/>
        <w:jc w:val="both"/>
        <w:rPr>
          <w:rFonts w:ascii="Times New Roman" w:hAnsi="Times New Roman" w:cs="Times New Roman"/>
          <w:sz w:val="24"/>
          <w:szCs w:val="24"/>
        </w:rPr>
      </w:pPr>
    </w:p>
    <w:p w14:paraId="22BEF73F" w14:textId="131FEE0D" w:rsidR="00A94F5F" w:rsidRDefault="00A94F5F" w:rsidP="003D705F">
      <w:pPr>
        <w:spacing w:line="360" w:lineRule="auto"/>
        <w:jc w:val="both"/>
        <w:rPr>
          <w:rFonts w:ascii="Times New Roman" w:hAnsi="Times New Roman" w:cs="Times New Roman"/>
          <w:sz w:val="24"/>
          <w:szCs w:val="24"/>
        </w:rPr>
      </w:pPr>
    </w:p>
    <w:p w14:paraId="2E16553D" w14:textId="77777777" w:rsidR="0017722B" w:rsidRDefault="0017722B" w:rsidP="003D705F">
      <w:pPr>
        <w:spacing w:line="360" w:lineRule="auto"/>
        <w:jc w:val="both"/>
        <w:rPr>
          <w:rFonts w:ascii="Times New Roman" w:hAnsi="Times New Roman" w:cs="Times New Roman"/>
          <w:sz w:val="24"/>
          <w:szCs w:val="24"/>
        </w:rPr>
      </w:pPr>
    </w:p>
    <w:p w14:paraId="4AFC2B1C" w14:textId="470EA877" w:rsidR="00A94F5F" w:rsidRDefault="00A94F5F" w:rsidP="003D705F">
      <w:pPr>
        <w:spacing w:line="360" w:lineRule="auto"/>
        <w:jc w:val="both"/>
        <w:rPr>
          <w:rFonts w:ascii="Times New Roman" w:hAnsi="Times New Roman" w:cs="Times New Roman"/>
          <w:sz w:val="24"/>
          <w:szCs w:val="24"/>
        </w:rPr>
      </w:pPr>
    </w:p>
    <w:p w14:paraId="1861A829" w14:textId="757CF8F2" w:rsidR="00A94F5F" w:rsidRDefault="00A94F5F" w:rsidP="003D705F">
      <w:pPr>
        <w:spacing w:line="360" w:lineRule="auto"/>
        <w:jc w:val="both"/>
        <w:rPr>
          <w:rFonts w:ascii="Times New Roman" w:hAnsi="Times New Roman" w:cs="Times New Roman"/>
          <w:sz w:val="24"/>
          <w:szCs w:val="24"/>
        </w:rPr>
      </w:pPr>
    </w:p>
    <w:p w14:paraId="730CDDCE" w14:textId="77777777" w:rsidR="00B365E3" w:rsidRDefault="00B365E3" w:rsidP="003D705F">
      <w:pPr>
        <w:spacing w:line="360" w:lineRule="auto"/>
        <w:jc w:val="both"/>
        <w:rPr>
          <w:rFonts w:ascii="Times New Roman" w:hAnsi="Times New Roman" w:cs="Times New Roman"/>
          <w:sz w:val="24"/>
          <w:szCs w:val="24"/>
        </w:rPr>
      </w:pPr>
    </w:p>
    <w:p w14:paraId="37AE0307" w14:textId="77777777" w:rsidR="003141FF" w:rsidRDefault="003141FF" w:rsidP="003D705F">
      <w:pPr>
        <w:spacing w:line="360" w:lineRule="auto"/>
        <w:jc w:val="both"/>
        <w:rPr>
          <w:rFonts w:ascii="Times New Roman" w:hAnsi="Times New Roman" w:cs="Times New Roman"/>
          <w:sz w:val="24"/>
          <w:szCs w:val="24"/>
        </w:rPr>
      </w:pPr>
    </w:p>
    <w:p w14:paraId="188D6A1A" w14:textId="4DAD73BF" w:rsidR="00405586" w:rsidRPr="00C332B0" w:rsidRDefault="00405586" w:rsidP="00E41F15">
      <w:pPr>
        <w:jc w:val="center"/>
        <w:rPr>
          <w:rFonts w:ascii="Times New Roman" w:hAnsi="Times New Roman" w:cs="Times New Roman"/>
          <w:b/>
          <w:bCs/>
          <w:sz w:val="24"/>
          <w:szCs w:val="24"/>
        </w:rPr>
      </w:pPr>
      <w:r w:rsidRPr="00C332B0">
        <w:rPr>
          <w:rFonts w:ascii="Times New Roman" w:hAnsi="Times New Roman" w:cs="Times New Roman"/>
          <w:b/>
          <w:bCs/>
          <w:sz w:val="24"/>
          <w:szCs w:val="24"/>
        </w:rPr>
        <w:t>Introduction</w:t>
      </w:r>
    </w:p>
    <w:p w14:paraId="0437E301" w14:textId="29BE72D4" w:rsidR="00C045EC" w:rsidRDefault="00CF0750" w:rsidP="00B940A0">
      <w:pPr>
        <w:spacing w:line="360" w:lineRule="auto"/>
        <w:jc w:val="both"/>
        <w:rPr>
          <w:rFonts w:ascii="Times New Roman" w:hAnsi="Times New Roman" w:cs="Times New Roman"/>
          <w:sz w:val="24"/>
          <w:szCs w:val="24"/>
        </w:rPr>
      </w:pPr>
      <w:r>
        <w:rPr>
          <w:rFonts w:ascii="Times New Roman" w:hAnsi="Times New Roman" w:cs="Times New Roman"/>
          <w:sz w:val="24"/>
          <w:szCs w:val="24"/>
        </w:rPr>
        <w:t>Human resource development is a backbone for economic development ensuring the rigorous and sustainable growth even though without nat</w:t>
      </w:r>
      <w:r w:rsidR="00D26091">
        <w:rPr>
          <w:rFonts w:ascii="Times New Roman" w:hAnsi="Times New Roman" w:cs="Times New Roman"/>
          <w:sz w:val="24"/>
          <w:szCs w:val="24"/>
        </w:rPr>
        <w:t>ural</w:t>
      </w:r>
      <w:r>
        <w:rPr>
          <w:rFonts w:ascii="Times New Roman" w:hAnsi="Times New Roman" w:cs="Times New Roman"/>
          <w:sz w:val="24"/>
          <w:szCs w:val="24"/>
        </w:rPr>
        <w:t xml:space="preserve"> resources. </w:t>
      </w:r>
      <w:r w:rsidR="004B5CFA">
        <w:rPr>
          <w:rFonts w:ascii="Times New Roman" w:hAnsi="Times New Roman" w:cs="Times New Roman"/>
          <w:sz w:val="24"/>
          <w:szCs w:val="24"/>
        </w:rPr>
        <w:t>Increasing recognition of educational roles meeting ever-changing needs and innovation can lead to transformational action based on school health and gender equality (</w:t>
      </w:r>
      <w:proofErr w:type="spellStart"/>
      <w:r w:rsidR="00597E1A" w:rsidRPr="00597E1A">
        <w:rPr>
          <w:rFonts w:ascii="Times New Roman" w:hAnsi="Times New Roman" w:cs="Times New Roman"/>
          <w:color w:val="222222"/>
          <w:sz w:val="24"/>
          <w:szCs w:val="24"/>
          <w:shd w:val="clear" w:color="auto" w:fill="FFFFFF"/>
        </w:rPr>
        <w:t>Toh</w:t>
      </w:r>
      <w:proofErr w:type="spellEnd"/>
      <w:r w:rsidR="00C34D68">
        <w:rPr>
          <w:rFonts w:ascii="Times New Roman" w:hAnsi="Times New Roman" w:cs="Times New Roman"/>
          <w:color w:val="222222"/>
          <w:sz w:val="24"/>
          <w:szCs w:val="24"/>
          <w:shd w:val="clear" w:color="auto" w:fill="FFFFFF"/>
        </w:rPr>
        <w:t xml:space="preserve"> et al.</w:t>
      </w:r>
      <w:r w:rsidR="00597E1A" w:rsidRPr="00597E1A">
        <w:rPr>
          <w:rFonts w:ascii="Times New Roman" w:hAnsi="Times New Roman" w:cs="Times New Roman"/>
          <w:color w:val="222222"/>
          <w:sz w:val="24"/>
          <w:szCs w:val="24"/>
          <w:shd w:val="clear" w:color="auto" w:fill="FFFFFF"/>
        </w:rPr>
        <w:t>, 2017</w:t>
      </w:r>
      <w:r w:rsidR="004B5CFA">
        <w:rPr>
          <w:rFonts w:ascii="Times New Roman" w:hAnsi="Times New Roman" w:cs="Times New Roman"/>
          <w:sz w:val="24"/>
          <w:szCs w:val="24"/>
        </w:rPr>
        <w:t>).</w:t>
      </w:r>
      <w:r w:rsidR="0059088B">
        <w:rPr>
          <w:rFonts w:ascii="Times New Roman" w:hAnsi="Times New Roman" w:cs="Times New Roman"/>
          <w:sz w:val="24"/>
          <w:szCs w:val="24"/>
        </w:rPr>
        <w:t xml:space="preserve"> Education produces competent human resources </w:t>
      </w:r>
      <w:r w:rsidR="00871A09">
        <w:rPr>
          <w:rFonts w:ascii="Times New Roman" w:hAnsi="Times New Roman" w:cs="Times New Roman"/>
          <w:sz w:val="24"/>
          <w:szCs w:val="24"/>
        </w:rPr>
        <w:t xml:space="preserve">in response to the labor market needs enriching a knowledge-based economy </w:t>
      </w:r>
      <w:r w:rsidR="00AF2620">
        <w:rPr>
          <w:rFonts w:ascii="Times New Roman" w:hAnsi="Times New Roman" w:cs="Times New Roman"/>
          <w:sz w:val="24"/>
          <w:szCs w:val="24"/>
        </w:rPr>
        <w:t xml:space="preserve">in line with well-being of human </w:t>
      </w:r>
      <w:r w:rsidR="00871A09">
        <w:rPr>
          <w:rFonts w:ascii="Times New Roman" w:hAnsi="Times New Roman" w:cs="Times New Roman"/>
          <w:sz w:val="24"/>
          <w:szCs w:val="24"/>
        </w:rPr>
        <w:t>(</w:t>
      </w:r>
      <w:proofErr w:type="spellStart"/>
      <w:r w:rsidR="00871A09">
        <w:rPr>
          <w:rFonts w:ascii="Times New Roman" w:hAnsi="Times New Roman" w:cs="Times New Roman"/>
          <w:sz w:val="24"/>
          <w:szCs w:val="24"/>
        </w:rPr>
        <w:t>MoEYS</w:t>
      </w:r>
      <w:proofErr w:type="spellEnd"/>
      <w:r w:rsidR="00871A09">
        <w:rPr>
          <w:rFonts w:ascii="Times New Roman" w:hAnsi="Times New Roman" w:cs="Times New Roman"/>
          <w:sz w:val="24"/>
          <w:szCs w:val="24"/>
        </w:rPr>
        <w:t>, 2019</w:t>
      </w:r>
      <w:r w:rsidR="001F6DB1">
        <w:rPr>
          <w:rFonts w:ascii="Times New Roman" w:hAnsi="Times New Roman" w:cs="Times New Roman"/>
          <w:sz w:val="24"/>
          <w:szCs w:val="24"/>
        </w:rPr>
        <w:t>a</w:t>
      </w:r>
      <w:r w:rsidR="00871A09">
        <w:rPr>
          <w:rFonts w:ascii="Times New Roman" w:hAnsi="Times New Roman" w:cs="Times New Roman"/>
          <w:sz w:val="24"/>
          <w:szCs w:val="24"/>
        </w:rPr>
        <w:t>).</w:t>
      </w:r>
      <w:r w:rsidR="00FE569E">
        <w:rPr>
          <w:rFonts w:ascii="Times New Roman" w:hAnsi="Times New Roman" w:cs="Times New Roman"/>
          <w:sz w:val="24"/>
          <w:szCs w:val="24"/>
        </w:rPr>
        <w:t xml:space="preserve"> In this regard, school health </w:t>
      </w:r>
      <w:r w:rsidR="00272230">
        <w:rPr>
          <w:rFonts w:ascii="Times New Roman" w:hAnsi="Times New Roman" w:cs="Times New Roman"/>
          <w:sz w:val="24"/>
          <w:szCs w:val="24"/>
        </w:rPr>
        <w:t xml:space="preserve">plays an important role in assisting academic activities by establishing supporting mechanisms consisting of </w:t>
      </w:r>
      <w:r w:rsidR="00A94F5F">
        <w:rPr>
          <w:rFonts w:ascii="Times New Roman" w:hAnsi="Times New Roman" w:cs="Times New Roman"/>
          <w:sz w:val="24"/>
          <w:szCs w:val="24"/>
        </w:rPr>
        <w:t>constant renovation of school environment infrastructure, trash management, provision of tap and hygienic water, hygienic hand-washing stations, promotion of hygienic and nutritious food, and physical education activities and sports (</w:t>
      </w:r>
      <w:proofErr w:type="spellStart"/>
      <w:r w:rsidR="00A94F5F">
        <w:rPr>
          <w:rFonts w:ascii="Times New Roman" w:hAnsi="Times New Roman" w:cs="Times New Roman"/>
          <w:sz w:val="24"/>
          <w:szCs w:val="24"/>
        </w:rPr>
        <w:t>MoEYS</w:t>
      </w:r>
      <w:proofErr w:type="spellEnd"/>
      <w:r w:rsidR="00A94F5F">
        <w:rPr>
          <w:rFonts w:ascii="Times New Roman" w:hAnsi="Times New Roman" w:cs="Times New Roman"/>
          <w:sz w:val="24"/>
          <w:szCs w:val="24"/>
        </w:rPr>
        <w:t>, 2023).</w:t>
      </w:r>
      <w:r w:rsidR="009D76DE">
        <w:rPr>
          <w:rFonts w:ascii="Times New Roman" w:hAnsi="Times New Roman" w:cs="Times New Roman"/>
          <w:sz w:val="24"/>
          <w:szCs w:val="24"/>
        </w:rPr>
        <w:t xml:space="preserve"> </w:t>
      </w:r>
      <w:r w:rsidR="009247CF">
        <w:rPr>
          <w:rFonts w:ascii="Times New Roman" w:hAnsi="Times New Roman" w:cs="Times New Roman"/>
          <w:sz w:val="24"/>
          <w:szCs w:val="24"/>
        </w:rPr>
        <w:t xml:space="preserve">Schools are the referral places for students to improve their health status and condition </w:t>
      </w:r>
      <w:r w:rsidR="009247CF" w:rsidRPr="00290267">
        <w:rPr>
          <w:rFonts w:ascii="Times New Roman" w:hAnsi="Times New Roman" w:cs="Times New Roman"/>
          <w:sz w:val="24"/>
          <w:szCs w:val="24"/>
        </w:rPr>
        <w:t>(</w:t>
      </w:r>
      <w:proofErr w:type="spellStart"/>
      <w:r w:rsidR="00290267" w:rsidRPr="00290267">
        <w:rPr>
          <w:rFonts w:ascii="Times New Roman" w:hAnsi="Times New Roman" w:cs="Times New Roman"/>
          <w:color w:val="222222"/>
          <w:sz w:val="24"/>
          <w:szCs w:val="24"/>
          <w:shd w:val="clear" w:color="auto" w:fill="FFFFFF"/>
        </w:rPr>
        <w:t>Brener</w:t>
      </w:r>
      <w:proofErr w:type="spellEnd"/>
      <w:r w:rsidR="00290267">
        <w:rPr>
          <w:rFonts w:ascii="Times New Roman" w:hAnsi="Times New Roman" w:cs="Times New Roman"/>
          <w:color w:val="222222"/>
          <w:sz w:val="24"/>
          <w:szCs w:val="24"/>
          <w:shd w:val="clear" w:color="auto" w:fill="FFFFFF"/>
        </w:rPr>
        <w:t xml:space="preserve"> et al., </w:t>
      </w:r>
      <w:r w:rsidR="00290267" w:rsidRPr="00290267">
        <w:rPr>
          <w:rFonts w:ascii="Times New Roman" w:hAnsi="Times New Roman" w:cs="Times New Roman"/>
          <w:color w:val="222222"/>
          <w:sz w:val="24"/>
          <w:szCs w:val="24"/>
          <w:shd w:val="clear" w:color="auto" w:fill="FFFFFF"/>
        </w:rPr>
        <w:t>2017</w:t>
      </w:r>
      <w:r w:rsidR="009247CF" w:rsidRPr="00290267">
        <w:rPr>
          <w:rFonts w:ascii="Times New Roman" w:hAnsi="Times New Roman" w:cs="Times New Roman"/>
          <w:sz w:val="24"/>
          <w:szCs w:val="24"/>
        </w:rPr>
        <w:t xml:space="preserve">). </w:t>
      </w:r>
      <w:r w:rsidR="009D76DE">
        <w:rPr>
          <w:rFonts w:ascii="Times New Roman" w:hAnsi="Times New Roman" w:cs="Times New Roman"/>
          <w:sz w:val="24"/>
          <w:szCs w:val="24"/>
        </w:rPr>
        <w:t xml:space="preserve">Therefore, an integration of school health and </w:t>
      </w:r>
      <w:r w:rsidR="00511364">
        <w:rPr>
          <w:rFonts w:ascii="Times New Roman" w:hAnsi="Times New Roman" w:cs="Times New Roman"/>
          <w:sz w:val="24"/>
          <w:szCs w:val="24"/>
        </w:rPr>
        <w:t>academic activities</w:t>
      </w:r>
      <w:r w:rsidR="009D76DE">
        <w:rPr>
          <w:rFonts w:ascii="Times New Roman" w:hAnsi="Times New Roman" w:cs="Times New Roman"/>
          <w:sz w:val="24"/>
          <w:szCs w:val="24"/>
        </w:rPr>
        <w:t xml:space="preserve"> might empower students to play more active roles in building peaceful and inclusive societies (</w:t>
      </w:r>
      <w:r w:rsidR="00B62594">
        <w:rPr>
          <w:rFonts w:ascii="Times New Roman" w:hAnsi="Times New Roman" w:cs="Times New Roman"/>
          <w:sz w:val="24"/>
          <w:szCs w:val="24"/>
        </w:rPr>
        <w:t>APCEIU, 2022</w:t>
      </w:r>
      <w:r w:rsidR="009D76DE">
        <w:rPr>
          <w:rFonts w:ascii="Times New Roman" w:hAnsi="Times New Roman" w:cs="Times New Roman"/>
          <w:sz w:val="24"/>
          <w:szCs w:val="24"/>
        </w:rPr>
        <w:t xml:space="preserve">). </w:t>
      </w:r>
    </w:p>
    <w:p w14:paraId="256EEA92" w14:textId="13194C68" w:rsidR="009B716D" w:rsidRPr="009B716D" w:rsidRDefault="00C045EC" w:rsidP="009B716D">
      <w:pPr>
        <w:spacing w:line="360" w:lineRule="auto"/>
        <w:jc w:val="both"/>
        <w:rPr>
          <w:rFonts w:ascii="Times New Roman" w:hAnsi="Times New Roman" w:cs="Times New Roman"/>
          <w:sz w:val="24"/>
          <w:szCs w:val="24"/>
        </w:rPr>
      </w:pPr>
      <w:r>
        <w:rPr>
          <w:rFonts w:ascii="Times New Roman" w:hAnsi="Times New Roman" w:cs="Times New Roman"/>
          <w:sz w:val="24"/>
          <w:szCs w:val="24"/>
        </w:rPr>
        <w:t>School health might comprise healthy eating and physical activities, school environment, quality school meals, health education, mental health and social services, teacher wellness program, and partnership with families and community members (American School Health Association, 2023).</w:t>
      </w:r>
      <w:r w:rsidR="00F84DAD">
        <w:rPr>
          <w:rFonts w:ascii="Times New Roman" w:hAnsi="Times New Roman" w:cs="Times New Roman"/>
          <w:sz w:val="24"/>
          <w:szCs w:val="24"/>
        </w:rPr>
        <w:t xml:space="preserve"> School health ranges from school health education, physical education, physical activity, school health policy, school-based health services, community involvement, and school health coordination </w:t>
      </w:r>
      <w:r w:rsidR="00F84DAD" w:rsidRPr="00290267">
        <w:rPr>
          <w:rFonts w:ascii="Times New Roman" w:hAnsi="Times New Roman" w:cs="Times New Roman"/>
          <w:sz w:val="24"/>
          <w:szCs w:val="24"/>
        </w:rPr>
        <w:t>(</w:t>
      </w:r>
      <w:proofErr w:type="spellStart"/>
      <w:r w:rsidR="00F84DAD" w:rsidRPr="00290267">
        <w:rPr>
          <w:rFonts w:ascii="Times New Roman" w:hAnsi="Times New Roman" w:cs="Times New Roman"/>
          <w:color w:val="222222"/>
          <w:sz w:val="24"/>
          <w:szCs w:val="24"/>
          <w:shd w:val="clear" w:color="auto" w:fill="FFFFFF"/>
        </w:rPr>
        <w:t>Brener</w:t>
      </w:r>
      <w:proofErr w:type="spellEnd"/>
      <w:r w:rsidR="00F84DAD">
        <w:rPr>
          <w:rFonts w:ascii="Times New Roman" w:hAnsi="Times New Roman" w:cs="Times New Roman"/>
          <w:color w:val="222222"/>
          <w:sz w:val="24"/>
          <w:szCs w:val="24"/>
          <w:shd w:val="clear" w:color="auto" w:fill="FFFFFF"/>
        </w:rPr>
        <w:t xml:space="preserve"> et al., </w:t>
      </w:r>
      <w:r w:rsidR="00F84DAD" w:rsidRPr="00290267">
        <w:rPr>
          <w:rFonts w:ascii="Times New Roman" w:hAnsi="Times New Roman" w:cs="Times New Roman"/>
          <w:color w:val="222222"/>
          <w:sz w:val="24"/>
          <w:szCs w:val="24"/>
          <w:shd w:val="clear" w:color="auto" w:fill="FFFFFF"/>
        </w:rPr>
        <w:t>2017</w:t>
      </w:r>
      <w:r w:rsidR="00F84DAD" w:rsidRPr="00290267">
        <w:rPr>
          <w:rFonts w:ascii="Times New Roman" w:hAnsi="Times New Roman" w:cs="Times New Roman"/>
          <w:sz w:val="24"/>
          <w:szCs w:val="24"/>
        </w:rPr>
        <w:t>).</w:t>
      </w:r>
      <w:r w:rsidR="00F84DAD">
        <w:rPr>
          <w:rFonts w:ascii="Times New Roman" w:hAnsi="Times New Roman" w:cs="Times New Roman"/>
          <w:sz w:val="24"/>
          <w:szCs w:val="24"/>
        </w:rPr>
        <w:t xml:space="preserve"> </w:t>
      </w:r>
      <w:r w:rsidR="00AD2B02">
        <w:rPr>
          <w:rFonts w:ascii="Times New Roman" w:hAnsi="Times New Roman" w:cs="Times New Roman"/>
          <w:sz w:val="24"/>
          <w:szCs w:val="24"/>
        </w:rPr>
        <w:t xml:space="preserve">In addition, school health covers mental health services, oral health services, physical therapy, vision screenings, occupational therapy, and hearing services (Mays, 2020). </w:t>
      </w:r>
      <w:r w:rsidR="00F43B7D">
        <w:rPr>
          <w:rFonts w:ascii="Times New Roman" w:hAnsi="Times New Roman" w:cs="Times New Roman"/>
          <w:sz w:val="24"/>
          <w:szCs w:val="24"/>
        </w:rPr>
        <w:t xml:space="preserve">School health promotes healthy </w:t>
      </w:r>
      <w:r w:rsidR="00AD2B02">
        <w:rPr>
          <w:rFonts w:ascii="Times New Roman" w:hAnsi="Times New Roman" w:cs="Times New Roman"/>
          <w:sz w:val="24"/>
          <w:szCs w:val="24"/>
        </w:rPr>
        <w:t>behaviors</w:t>
      </w:r>
      <w:r w:rsidR="00F43B7D">
        <w:rPr>
          <w:rFonts w:ascii="Times New Roman" w:hAnsi="Times New Roman" w:cs="Times New Roman"/>
          <w:sz w:val="24"/>
          <w:szCs w:val="24"/>
        </w:rPr>
        <w:t xml:space="preserve"> consisting of practicing teeth brushing, promoting dietary habits increasing vegetable and fruit consumption available at school (</w:t>
      </w:r>
      <w:proofErr w:type="spellStart"/>
      <w:r w:rsidR="00541EBF">
        <w:rPr>
          <w:rFonts w:ascii="Times New Roman" w:hAnsi="Times New Roman" w:cs="Times New Roman"/>
          <w:sz w:val="24"/>
          <w:szCs w:val="24"/>
          <w:lang w:bidi="km-KH"/>
        </w:rPr>
        <w:t>Meroni</w:t>
      </w:r>
      <w:proofErr w:type="spellEnd"/>
      <w:r w:rsidR="00541EBF">
        <w:rPr>
          <w:rFonts w:ascii="Times New Roman" w:hAnsi="Times New Roman" w:cs="Times New Roman"/>
          <w:sz w:val="24"/>
          <w:szCs w:val="24"/>
          <w:lang w:bidi="km-KH"/>
        </w:rPr>
        <w:t xml:space="preserve"> &amp; Velasco, 2023</w:t>
      </w:r>
      <w:r w:rsidR="005030BD">
        <w:rPr>
          <w:rFonts w:ascii="Times New Roman" w:hAnsi="Times New Roman" w:cs="Times New Roman"/>
          <w:sz w:val="24"/>
          <w:szCs w:val="24"/>
          <w:lang w:bidi="km-KH"/>
        </w:rPr>
        <w:t xml:space="preserve">; </w:t>
      </w:r>
      <w:r w:rsidR="005030BD" w:rsidRPr="005030BD">
        <w:rPr>
          <w:rFonts w:ascii="Times New Roman" w:hAnsi="Times New Roman" w:cs="Times New Roman"/>
          <w:color w:val="222222"/>
          <w:sz w:val="24"/>
          <w:szCs w:val="24"/>
          <w:shd w:val="clear" w:color="auto" w:fill="FFFFFF"/>
        </w:rPr>
        <w:t>Gargano</w:t>
      </w:r>
      <w:r w:rsidR="00A85C06">
        <w:rPr>
          <w:rFonts w:ascii="Times New Roman" w:hAnsi="Times New Roman" w:cs="Times New Roman"/>
          <w:color w:val="222222"/>
          <w:sz w:val="24"/>
          <w:szCs w:val="24"/>
          <w:shd w:val="clear" w:color="auto" w:fill="FFFFFF"/>
        </w:rPr>
        <w:t xml:space="preserve"> et al.</w:t>
      </w:r>
      <w:r w:rsidR="005030BD" w:rsidRPr="005030BD">
        <w:rPr>
          <w:rFonts w:ascii="Times New Roman" w:hAnsi="Times New Roman" w:cs="Times New Roman"/>
          <w:color w:val="222222"/>
          <w:sz w:val="24"/>
          <w:szCs w:val="24"/>
          <w:shd w:val="clear" w:color="auto" w:fill="FFFFFF"/>
        </w:rPr>
        <w:t>, 2019</w:t>
      </w:r>
      <w:r w:rsidR="00AD3E84">
        <w:rPr>
          <w:rFonts w:ascii="Times New Roman" w:hAnsi="Times New Roman" w:cs="Times New Roman"/>
          <w:color w:val="222222"/>
          <w:sz w:val="24"/>
          <w:szCs w:val="24"/>
          <w:shd w:val="clear" w:color="auto" w:fill="FFFFFF"/>
        </w:rPr>
        <w:t xml:space="preserve">; </w:t>
      </w:r>
      <w:proofErr w:type="spellStart"/>
      <w:r w:rsidR="009B716D" w:rsidRPr="009B716D">
        <w:rPr>
          <w:rFonts w:ascii="Times New Roman" w:hAnsi="Times New Roman" w:cs="Times New Roman"/>
          <w:color w:val="222222"/>
          <w:sz w:val="24"/>
          <w:szCs w:val="24"/>
          <w:shd w:val="clear" w:color="auto" w:fill="FFFFFF"/>
        </w:rPr>
        <w:t>Oldroyd</w:t>
      </w:r>
      <w:proofErr w:type="spellEnd"/>
      <w:r w:rsidR="009B716D">
        <w:rPr>
          <w:rFonts w:ascii="Times New Roman" w:hAnsi="Times New Roman" w:cs="Times New Roman"/>
          <w:color w:val="222222"/>
          <w:sz w:val="24"/>
          <w:szCs w:val="24"/>
          <w:shd w:val="clear" w:color="auto" w:fill="FFFFFF"/>
        </w:rPr>
        <w:t xml:space="preserve"> et al.,</w:t>
      </w:r>
      <w:r w:rsidR="009B716D" w:rsidRPr="009B716D">
        <w:rPr>
          <w:rFonts w:ascii="Times New Roman" w:hAnsi="Times New Roman" w:cs="Times New Roman"/>
          <w:color w:val="222222"/>
          <w:sz w:val="24"/>
          <w:szCs w:val="24"/>
          <w:shd w:val="clear" w:color="auto" w:fill="FFFFFF"/>
        </w:rPr>
        <w:t xml:space="preserve"> 2008</w:t>
      </w:r>
      <w:r w:rsidR="00F43B7D">
        <w:rPr>
          <w:rFonts w:ascii="Times New Roman" w:hAnsi="Times New Roman" w:cs="Times New Roman"/>
          <w:sz w:val="24"/>
          <w:szCs w:val="24"/>
        </w:rPr>
        <w:t>).</w:t>
      </w:r>
      <w:r w:rsidR="008610A2">
        <w:rPr>
          <w:rFonts w:ascii="Times New Roman" w:hAnsi="Times New Roman" w:cs="Times New Roman"/>
          <w:sz w:val="24"/>
          <w:szCs w:val="24"/>
        </w:rPr>
        <w:t xml:space="preserve"> Therefore, school health confines required components of health activities ensuring students, teachers, school management and administrators to be safe and heathy during their presence at school. </w:t>
      </w:r>
    </w:p>
    <w:p w14:paraId="647A80BF" w14:textId="513A02C4" w:rsidR="00A05652" w:rsidRDefault="002C62A8" w:rsidP="00B94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hands, learning outcomes encompass </w:t>
      </w:r>
      <w:r w:rsidR="00C15058">
        <w:rPr>
          <w:rFonts w:ascii="Times New Roman" w:hAnsi="Times New Roman" w:cs="Times New Roman"/>
          <w:sz w:val="24"/>
          <w:szCs w:val="24"/>
        </w:rPr>
        <w:t xml:space="preserve">enrollment </w:t>
      </w:r>
      <w:r w:rsidR="00CB3CD4">
        <w:rPr>
          <w:rFonts w:ascii="Times New Roman" w:hAnsi="Times New Roman" w:cs="Times New Roman"/>
          <w:sz w:val="24"/>
          <w:szCs w:val="24"/>
        </w:rPr>
        <w:t>and</w:t>
      </w:r>
      <w:r w:rsidR="00C15058">
        <w:rPr>
          <w:rFonts w:ascii="Times New Roman" w:hAnsi="Times New Roman" w:cs="Times New Roman"/>
          <w:sz w:val="24"/>
          <w:szCs w:val="24"/>
        </w:rPr>
        <w:t xml:space="preserve"> grade repetition rate, attendance rate, and test score on the national examination </w:t>
      </w:r>
      <w:r w:rsidR="00E07983">
        <w:rPr>
          <w:rFonts w:ascii="Times New Roman" w:hAnsi="Times New Roman" w:cs="Times New Roman"/>
          <w:sz w:val="24"/>
          <w:szCs w:val="24"/>
        </w:rPr>
        <w:t>(McEwan, 2012).</w:t>
      </w:r>
      <w:r w:rsidR="00C15058">
        <w:rPr>
          <w:rFonts w:ascii="Times New Roman" w:hAnsi="Times New Roman" w:cs="Times New Roman"/>
          <w:sz w:val="24"/>
          <w:szCs w:val="24"/>
        </w:rPr>
        <w:t xml:space="preserve"> </w:t>
      </w:r>
      <w:r w:rsidR="00BE2830">
        <w:rPr>
          <w:rFonts w:ascii="Times New Roman" w:hAnsi="Times New Roman" w:cs="Times New Roman"/>
          <w:sz w:val="24"/>
          <w:szCs w:val="24"/>
        </w:rPr>
        <w:t xml:space="preserve">Learning outcomes might measure how much students can learn, memorize and transform what they studied </w:t>
      </w:r>
      <w:r w:rsidR="0017234D">
        <w:rPr>
          <w:rFonts w:ascii="Times New Roman" w:hAnsi="Times New Roman" w:cs="Times New Roman"/>
          <w:sz w:val="24"/>
          <w:szCs w:val="24"/>
        </w:rPr>
        <w:t xml:space="preserve">into practical actions </w:t>
      </w:r>
      <w:r w:rsidR="00BE2830">
        <w:rPr>
          <w:rFonts w:ascii="Times New Roman" w:hAnsi="Times New Roman" w:cs="Times New Roman"/>
          <w:sz w:val="24"/>
          <w:szCs w:val="24"/>
        </w:rPr>
        <w:t>(</w:t>
      </w:r>
      <w:proofErr w:type="spellStart"/>
      <w:r w:rsidR="00BE2830">
        <w:rPr>
          <w:rFonts w:ascii="Times New Roman" w:hAnsi="Times New Roman" w:cs="Times New Roman"/>
          <w:sz w:val="24"/>
          <w:szCs w:val="24"/>
        </w:rPr>
        <w:t>Supena</w:t>
      </w:r>
      <w:proofErr w:type="spellEnd"/>
      <w:r w:rsidR="00FF1AD5">
        <w:rPr>
          <w:rFonts w:ascii="Times New Roman" w:hAnsi="Times New Roman" w:cs="Times New Roman"/>
          <w:sz w:val="24"/>
          <w:szCs w:val="24"/>
        </w:rPr>
        <w:t xml:space="preserve"> et al.</w:t>
      </w:r>
      <w:r w:rsidR="00BE2830">
        <w:rPr>
          <w:rFonts w:ascii="Times New Roman" w:hAnsi="Times New Roman" w:cs="Times New Roman"/>
          <w:sz w:val="24"/>
          <w:szCs w:val="24"/>
        </w:rPr>
        <w:t>, 2021).</w:t>
      </w:r>
      <w:r w:rsidR="00B516D1">
        <w:rPr>
          <w:rFonts w:ascii="Times New Roman" w:hAnsi="Times New Roman" w:cs="Times New Roman"/>
          <w:sz w:val="24"/>
          <w:szCs w:val="24"/>
        </w:rPr>
        <w:t xml:space="preserve"> </w:t>
      </w:r>
      <w:r w:rsidR="00220095">
        <w:rPr>
          <w:rFonts w:ascii="Times New Roman" w:hAnsi="Times New Roman" w:cs="Times New Roman"/>
          <w:sz w:val="24"/>
          <w:szCs w:val="24"/>
        </w:rPr>
        <w:t xml:space="preserve">Learning outcomes might be a result of </w:t>
      </w:r>
      <w:r w:rsidR="00220095">
        <w:rPr>
          <w:rFonts w:ascii="Times New Roman" w:hAnsi="Times New Roman" w:cs="Times New Roman"/>
          <w:sz w:val="24"/>
          <w:szCs w:val="24"/>
        </w:rPr>
        <w:lastRenderedPageBreak/>
        <w:t>evaluation of quality instruction affected by school curriculum implementation, instructional methods, and learning modes (Lin</w:t>
      </w:r>
      <w:r w:rsidR="00683F5B">
        <w:rPr>
          <w:rFonts w:ascii="Times New Roman" w:hAnsi="Times New Roman" w:cs="Times New Roman"/>
          <w:sz w:val="24"/>
          <w:szCs w:val="24"/>
        </w:rPr>
        <w:t xml:space="preserve"> et al.</w:t>
      </w:r>
      <w:r w:rsidR="00220095">
        <w:rPr>
          <w:rFonts w:ascii="Times New Roman" w:hAnsi="Times New Roman" w:cs="Times New Roman"/>
          <w:sz w:val="24"/>
          <w:szCs w:val="24"/>
        </w:rPr>
        <w:t>, 2017; Jude</w:t>
      </w:r>
      <w:r w:rsidR="00177565">
        <w:rPr>
          <w:rFonts w:ascii="Times New Roman" w:hAnsi="Times New Roman" w:cs="Times New Roman"/>
          <w:sz w:val="24"/>
          <w:szCs w:val="24"/>
        </w:rPr>
        <w:t xml:space="preserve"> &amp; Paul</w:t>
      </w:r>
      <w:r w:rsidR="00220095">
        <w:rPr>
          <w:rFonts w:ascii="Times New Roman" w:hAnsi="Times New Roman" w:cs="Times New Roman"/>
          <w:sz w:val="24"/>
          <w:szCs w:val="24"/>
        </w:rPr>
        <w:t xml:space="preserve">, 2014). </w:t>
      </w:r>
      <w:r w:rsidR="00B516D1">
        <w:rPr>
          <w:rFonts w:ascii="Times New Roman" w:hAnsi="Times New Roman" w:cs="Times New Roman"/>
          <w:sz w:val="24"/>
          <w:szCs w:val="24"/>
        </w:rPr>
        <w:t>Teachers play a central role in determining learning outcomes (</w:t>
      </w:r>
      <w:proofErr w:type="spellStart"/>
      <w:r w:rsidR="00B516D1">
        <w:rPr>
          <w:rFonts w:ascii="Times New Roman" w:hAnsi="Times New Roman" w:cs="Times New Roman"/>
          <w:sz w:val="24"/>
          <w:szCs w:val="24"/>
        </w:rPr>
        <w:t>Afkar</w:t>
      </w:r>
      <w:proofErr w:type="spellEnd"/>
      <w:r w:rsidR="00B516D1">
        <w:rPr>
          <w:rFonts w:ascii="Times New Roman" w:hAnsi="Times New Roman" w:cs="Times New Roman"/>
          <w:sz w:val="24"/>
          <w:szCs w:val="24"/>
        </w:rPr>
        <w:t xml:space="preserve"> et al., 2023). </w:t>
      </w:r>
      <w:r w:rsidR="005757B4">
        <w:rPr>
          <w:rFonts w:ascii="Times New Roman" w:hAnsi="Times New Roman" w:cs="Times New Roman"/>
          <w:sz w:val="24"/>
          <w:szCs w:val="24"/>
        </w:rPr>
        <w:t xml:space="preserve">Thus, learning outcomes cannot be achieved without active involvement of teachers.  </w:t>
      </w:r>
    </w:p>
    <w:p w14:paraId="4E69C2DC" w14:textId="14928234" w:rsidR="00A05652" w:rsidRDefault="00A05652" w:rsidP="009C6E9F">
      <w:pPr>
        <w:spacing w:line="360" w:lineRule="auto"/>
        <w:jc w:val="both"/>
        <w:rPr>
          <w:rFonts w:ascii="Times New Roman" w:hAnsi="Times New Roman" w:cs="Times New Roman"/>
          <w:sz w:val="24"/>
          <w:szCs w:val="24"/>
        </w:rPr>
      </w:pPr>
      <w:r>
        <w:rPr>
          <w:rFonts w:ascii="Times New Roman" w:hAnsi="Times New Roman" w:cs="Times New Roman"/>
          <w:sz w:val="24"/>
          <w:szCs w:val="24"/>
        </w:rPr>
        <w:t>Students can be provided with the right skills and competencies in hope of getting decent jobs to productively engag</w:t>
      </w:r>
      <w:r w:rsidR="006C75CF">
        <w:rPr>
          <w:rFonts w:ascii="Times New Roman" w:hAnsi="Times New Roman" w:cs="Times New Roman"/>
          <w:sz w:val="24"/>
          <w:szCs w:val="24"/>
        </w:rPr>
        <w:t>e</w:t>
      </w:r>
      <w:r>
        <w:rPr>
          <w:rFonts w:ascii="Times New Roman" w:hAnsi="Times New Roman" w:cs="Times New Roman"/>
          <w:sz w:val="24"/>
          <w:szCs w:val="24"/>
        </w:rPr>
        <w:t xml:space="preserve"> in the society (</w:t>
      </w:r>
      <w:proofErr w:type="spellStart"/>
      <w:r>
        <w:rPr>
          <w:rFonts w:ascii="Times New Roman" w:hAnsi="Times New Roman" w:cs="Times New Roman"/>
          <w:sz w:val="24"/>
          <w:szCs w:val="24"/>
        </w:rPr>
        <w:t>Toh</w:t>
      </w:r>
      <w:proofErr w:type="spellEnd"/>
      <w:r w:rsidR="00FE7A2D">
        <w:rPr>
          <w:rFonts w:ascii="Times New Roman" w:hAnsi="Times New Roman" w:cs="Times New Roman"/>
          <w:sz w:val="24"/>
          <w:szCs w:val="24"/>
        </w:rPr>
        <w:t xml:space="preserve"> et al.</w:t>
      </w:r>
      <w:r>
        <w:rPr>
          <w:rFonts w:ascii="Times New Roman" w:hAnsi="Times New Roman" w:cs="Times New Roman"/>
          <w:sz w:val="24"/>
          <w:szCs w:val="24"/>
        </w:rPr>
        <w:t>, 2017).</w:t>
      </w:r>
      <w:r w:rsidR="00EC3D49">
        <w:rPr>
          <w:rFonts w:ascii="Times New Roman" w:hAnsi="Times New Roman" w:cs="Times New Roman"/>
          <w:sz w:val="24"/>
          <w:szCs w:val="24"/>
        </w:rPr>
        <w:t xml:space="preserve"> However, technical and vocational education and training (TVET) is difficult to attract students as </w:t>
      </w:r>
      <w:r w:rsidR="005C25AE">
        <w:rPr>
          <w:rFonts w:ascii="Times New Roman" w:hAnsi="Times New Roman" w:cs="Times New Roman"/>
          <w:sz w:val="24"/>
          <w:szCs w:val="24"/>
        </w:rPr>
        <w:t>they perceive blue-collar work with dangerous, difficult and dirty jobs affecting their health (</w:t>
      </w:r>
      <w:proofErr w:type="spellStart"/>
      <w:r w:rsidR="006125F4">
        <w:rPr>
          <w:rFonts w:ascii="Times New Roman" w:hAnsi="Times New Roman" w:cs="Times New Roman"/>
          <w:sz w:val="24"/>
          <w:szCs w:val="24"/>
        </w:rPr>
        <w:t>MoEYS</w:t>
      </w:r>
      <w:proofErr w:type="spellEnd"/>
      <w:r w:rsidR="006125F4">
        <w:rPr>
          <w:rFonts w:ascii="Times New Roman" w:hAnsi="Times New Roman" w:cs="Times New Roman"/>
          <w:sz w:val="24"/>
          <w:szCs w:val="24"/>
        </w:rPr>
        <w:t>, 2019</w:t>
      </w:r>
      <w:r w:rsidR="001F6DB1">
        <w:rPr>
          <w:rFonts w:ascii="Times New Roman" w:hAnsi="Times New Roman" w:cs="Times New Roman"/>
          <w:sz w:val="24"/>
          <w:szCs w:val="24"/>
        </w:rPr>
        <w:t>b</w:t>
      </w:r>
      <w:r w:rsidR="005C25AE">
        <w:rPr>
          <w:rFonts w:ascii="Times New Roman" w:hAnsi="Times New Roman" w:cs="Times New Roman"/>
          <w:sz w:val="24"/>
          <w:szCs w:val="24"/>
        </w:rPr>
        <w:t>).</w:t>
      </w:r>
      <w:r w:rsidR="00737162">
        <w:rPr>
          <w:rFonts w:ascii="Times New Roman" w:hAnsi="Times New Roman" w:cs="Times New Roman"/>
          <w:sz w:val="24"/>
          <w:szCs w:val="24"/>
        </w:rPr>
        <w:t xml:space="preserve"> The perception of dirty jobs reflects from school health</w:t>
      </w:r>
      <w:r w:rsidR="00836003">
        <w:rPr>
          <w:rFonts w:ascii="Times New Roman" w:hAnsi="Times New Roman" w:cs="Times New Roman"/>
          <w:sz w:val="24"/>
          <w:szCs w:val="24"/>
        </w:rPr>
        <w:t xml:space="preserve"> quality. </w:t>
      </w:r>
      <w:r w:rsidR="007B226A">
        <w:rPr>
          <w:rFonts w:ascii="Times New Roman" w:hAnsi="Times New Roman" w:cs="Times New Roman"/>
          <w:sz w:val="24"/>
          <w:szCs w:val="24"/>
        </w:rPr>
        <w:t>Instructors are not aware of the relationship between school health and students’ learning outcomes (</w:t>
      </w:r>
      <w:proofErr w:type="spellStart"/>
      <w:r w:rsidR="00FD0060">
        <w:rPr>
          <w:rFonts w:ascii="Times New Roman" w:hAnsi="Times New Roman" w:cs="Times New Roman"/>
          <w:sz w:val="24"/>
          <w:szCs w:val="24"/>
          <w:lang w:bidi="km-KH"/>
        </w:rPr>
        <w:t>Meroni</w:t>
      </w:r>
      <w:proofErr w:type="spellEnd"/>
      <w:r w:rsidR="00FD0060">
        <w:rPr>
          <w:rFonts w:ascii="Times New Roman" w:hAnsi="Times New Roman" w:cs="Times New Roman"/>
          <w:sz w:val="24"/>
          <w:szCs w:val="24"/>
          <w:lang w:bidi="km-KH"/>
        </w:rPr>
        <w:t xml:space="preserve"> &amp; Velasco, 2023</w:t>
      </w:r>
      <w:r w:rsidR="007B226A">
        <w:rPr>
          <w:rFonts w:ascii="Times New Roman" w:hAnsi="Times New Roman" w:cs="Times New Roman"/>
          <w:sz w:val="24"/>
          <w:szCs w:val="24"/>
        </w:rPr>
        <w:t xml:space="preserve">). </w:t>
      </w:r>
      <w:r w:rsidR="00425004">
        <w:rPr>
          <w:rFonts w:ascii="Times New Roman" w:hAnsi="Times New Roman" w:cs="Times New Roman"/>
          <w:sz w:val="24"/>
          <w:szCs w:val="24"/>
        </w:rPr>
        <w:t>There is an imbalance of school health qualit</w:t>
      </w:r>
      <w:r w:rsidR="002661E0">
        <w:rPr>
          <w:rFonts w:ascii="Times New Roman" w:hAnsi="Times New Roman" w:cs="Times New Roman"/>
          <w:sz w:val="24"/>
          <w:szCs w:val="24"/>
        </w:rPr>
        <w:t>ies</w:t>
      </w:r>
      <w:r w:rsidR="00425004">
        <w:rPr>
          <w:rFonts w:ascii="Times New Roman" w:hAnsi="Times New Roman" w:cs="Times New Roman"/>
          <w:sz w:val="24"/>
          <w:szCs w:val="24"/>
        </w:rPr>
        <w:t xml:space="preserve"> between the rural and urban areas in terms of service delivery, facilities and infrastructure and qualified health workers</w:t>
      </w:r>
      <w:r w:rsidR="000F1FD8">
        <w:rPr>
          <w:rFonts w:ascii="Times New Roman" w:hAnsi="Times New Roman" w:cs="Times New Roman"/>
          <w:sz w:val="24"/>
          <w:szCs w:val="24"/>
        </w:rPr>
        <w:t xml:space="preserve"> negatively impacting learning outcomes</w:t>
      </w:r>
      <w:r w:rsidR="00425004">
        <w:rPr>
          <w:rFonts w:ascii="Times New Roman" w:hAnsi="Times New Roman" w:cs="Times New Roman"/>
          <w:sz w:val="24"/>
          <w:szCs w:val="24"/>
        </w:rPr>
        <w:t xml:space="preserve"> (</w:t>
      </w:r>
      <w:r w:rsidR="00A85FFF">
        <w:rPr>
          <w:rFonts w:ascii="Times New Roman" w:hAnsi="Times New Roman" w:cs="Times New Roman"/>
          <w:sz w:val="24"/>
          <w:szCs w:val="24"/>
        </w:rPr>
        <w:t>WHO, 2021</w:t>
      </w:r>
      <w:r w:rsidR="00425004">
        <w:rPr>
          <w:rFonts w:ascii="Times New Roman" w:hAnsi="Times New Roman" w:cs="Times New Roman"/>
          <w:sz w:val="24"/>
          <w:szCs w:val="24"/>
        </w:rPr>
        <w:t xml:space="preserve">). </w:t>
      </w:r>
      <w:r w:rsidR="00935588">
        <w:rPr>
          <w:rFonts w:ascii="Times New Roman" w:hAnsi="Times New Roman" w:cs="Times New Roman"/>
          <w:sz w:val="24"/>
          <w:szCs w:val="24"/>
        </w:rPr>
        <w:t>The pandemic and school closure led to dramatic declines in students’ well-being and educational development negatively affecting learning outcomes (Scott</w:t>
      </w:r>
      <w:r w:rsidR="00CC79EF">
        <w:rPr>
          <w:rFonts w:ascii="Times New Roman" w:hAnsi="Times New Roman" w:cs="Times New Roman"/>
          <w:sz w:val="24"/>
          <w:szCs w:val="24"/>
        </w:rPr>
        <w:t xml:space="preserve"> et al.</w:t>
      </w:r>
      <w:r w:rsidR="00935588">
        <w:rPr>
          <w:rFonts w:ascii="Times New Roman" w:hAnsi="Times New Roman" w:cs="Times New Roman"/>
          <w:sz w:val="24"/>
          <w:szCs w:val="24"/>
        </w:rPr>
        <w:t xml:space="preserve">, 2023). </w:t>
      </w:r>
      <w:r w:rsidR="00C54AF1">
        <w:rPr>
          <w:rFonts w:ascii="Times New Roman" w:hAnsi="Times New Roman" w:cs="Times New Roman"/>
          <w:sz w:val="24"/>
          <w:szCs w:val="24"/>
        </w:rPr>
        <w:t>In other words, p</w:t>
      </w:r>
      <w:r w:rsidR="00625B6B">
        <w:rPr>
          <w:rFonts w:ascii="Times New Roman" w:hAnsi="Times New Roman" w:cs="Times New Roman"/>
          <w:sz w:val="24"/>
          <w:szCs w:val="24"/>
        </w:rPr>
        <w:t xml:space="preserve">oor school management being unable to manage school health effectively reflects poor learning outcomes (Asim et al., 2021). </w:t>
      </w:r>
      <w:r w:rsidR="00722A34">
        <w:rPr>
          <w:rFonts w:ascii="Times New Roman" w:hAnsi="Times New Roman" w:cs="Times New Roman"/>
          <w:sz w:val="24"/>
          <w:szCs w:val="24"/>
        </w:rPr>
        <w:t>In addition, school health is an ultimate challenge for students, teachers and school management</w:t>
      </w:r>
      <w:r w:rsidR="00E53FAF">
        <w:rPr>
          <w:rFonts w:ascii="Times New Roman" w:hAnsi="Times New Roman" w:cs="Times New Roman"/>
          <w:sz w:val="24"/>
          <w:szCs w:val="24"/>
        </w:rPr>
        <w:t xml:space="preserve"> because they have limited interventions to assist students (</w:t>
      </w:r>
      <w:r w:rsidR="00D24D94" w:rsidRPr="00D24D94">
        <w:rPr>
          <w:rFonts w:ascii="Times New Roman" w:hAnsi="Times New Roman" w:cs="Times New Roman"/>
          <w:color w:val="222222"/>
          <w:sz w:val="24"/>
          <w:szCs w:val="24"/>
          <w:shd w:val="clear" w:color="auto" w:fill="FFFFFF"/>
        </w:rPr>
        <w:t>Nguyen</w:t>
      </w:r>
      <w:r w:rsidR="00CF0091">
        <w:rPr>
          <w:rFonts w:ascii="Times New Roman" w:hAnsi="Times New Roman" w:cs="Times New Roman"/>
          <w:color w:val="222222"/>
          <w:sz w:val="24"/>
          <w:szCs w:val="24"/>
          <w:shd w:val="clear" w:color="auto" w:fill="FFFFFF"/>
        </w:rPr>
        <w:t xml:space="preserve"> et al.</w:t>
      </w:r>
      <w:r w:rsidR="00D24D94" w:rsidRPr="00D24D94">
        <w:rPr>
          <w:rFonts w:ascii="Times New Roman" w:hAnsi="Times New Roman" w:cs="Times New Roman"/>
          <w:color w:val="222222"/>
          <w:sz w:val="24"/>
          <w:szCs w:val="24"/>
          <w:shd w:val="clear" w:color="auto" w:fill="FFFFFF"/>
        </w:rPr>
        <w:t>, 2020</w:t>
      </w:r>
      <w:r w:rsidR="00E53FAF">
        <w:rPr>
          <w:rFonts w:ascii="Times New Roman" w:hAnsi="Times New Roman" w:cs="Times New Roman"/>
          <w:sz w:val="24"/>
          <w:szCs w:val="24"/>
        </w:rPr>
        <w:t xml:space="preserve">). </w:t>
      </w:r>
      <w:r w:rsidR="00E8722B">
        <w:rPr>
          <w:rFonts w:ascii="Times New Roman" w:hAnsi="Times New Roman" w:cs="Times New Roman"/>
          <w:sz w:val="24"/>
          <w:szCs w:val="24"/>
        </w:rPr>
        <w:t>School health might be an obstacle stagnating students’ brains to academically grow (</w:t>
      </w:r>
      <w:proofErr w:type="spellStart"/>
      <w:r w:rsidR="00E8722B">
        <w:rPr>
          <w:rFonts w:ascii="Times New Roman" w:hAnsi="Times New Roman" w:cs="Times New Roman"/>
          <w:sz w:val="24"/>
          <w:szCs w:val="24"/>
        </w:rPr>
        <w:t>MoEYS</w:t>
      </w:r>
      <w:proofErr w:type="spellEnd"/>
      <w:r w:rsidR="00E8722B">
        <w:rPr>
          <w:rFonts w:ascii="Times New Roman" w:hAnsi="Times New Roman" w:cs="Times New Roman"/>
          <w:sz w:val="24"/>
          <w:szCs w:val="24"/>
        </w:rPr>
        <w:t xml:space="preserve">, 2022). </w:t>
      </w:r>
      <w:r w:rsidR="009F19AD">
        <w:rPr>
          <w:rFonts w:ascii="Times New Roman" w:hAnsi="Times New Roman" w:cs="Times New Roman"/>
          <w:sz w:val="24"/>
          <w:szCs w:val="24"/>
        </w:rPr>
        <w:t>School health services were too limited to be accessed for students and teachers to avoid risky health behaviors (</w:t>
      </w:r>
      <w:proofErr w:type="spellStart"/>
      <w:r w:rsidR="009F19AD">
        <w:rPr>
          <w:rFonts w:ascii="Times New Roman" w:hAnsi="Times New Roman" w:cs="Times New Roman"/>
          <w:sz w:val="24"/>
          <w:szCs w:val="24"/>
        </w:rPr>
        <w:t>Tomokawa</w:t>
      </w:r>
      <w:proofErr w:type="spellEnd"/>
      <w:r w:rsidR="009F19AD">
        <w:rPr>
          <w:rFonts w:ascii="Times New Roman" w:hAnsi="Times New Roman" w:cs="Times New Roman"/>
          <w:sz w:val="24"/>
          <w:szCs w:val="24"/>
        </w:rPr>
        <w:t xml:space="preserve"> et al., 2018</w:t>
      </w:r>
      <w:r w:rsidR="003C3475">
        <w:rPr>
          <w:rFonts w:ascii="Times New Roman" w:hAnsi="Times New Roman" w:cs="Times New Roman"/>
          <w:sz w:val="24"/>
          <w:szCs w:val="24"/>
        </w:rPr>
        <w:t xml:space="preserve">; </w:t>
      </w:r>
      <w:r w:rsidR="003C3475" w:rsidRPr="00830771">
        <w:rPr>
          <w:rFonts w:ascii="Times New Roman" w:hAnsi="Times New Roman" w:cs="Times New Roman"/>
          <w:color w:val="222222"/>
          <w:sz w:val="24"/>
          <w:szCs w:val="24"/>
          <w:shd w:val="clear" w:color="auto" w:fill="FFFFFF"/>
        </w:rPr>
        <w:t>Lynagh</w:t>
      </w:r>
      <w:r w:rsidR="00777524">
        <w:rPr>
          <w:rFonts w:ascii="Times New Roman" w:hAnsi="Times New Roman" w:cs="Times New Roman"/>
          <w:color w:val="222222"/>
          <w:sz w:val="24"/>
          <w:szCs w:val="24"/>
          <w:shd w:val="clear" w:color="auto" w:fill="FFFFFF"/>
        </w:rPr>
        <w:t xml:space="preserve"> et al.</w:t>
      </w:r>
      <w:r w:rsidR="003C3475" w:rsidRPr="00830771">
        <w:rPr>
          <w:rFonts w:ascii="Times New Roman" w:hAnsi="Times New Roman" w:cs="Times New Roman"/>
          <w:color w:val="222222"/>
          <w:sz w:val="24"/>
          <w:szCs w:val="24"/>
          <w:shd w:val="clear" w:color="auto" w:fill="FFFFFF"/>
        </w:rPr>
        <w:t>,</w:t>
      </w:r>
      <w:r w:rsidR="003C3475">
        <w:rPr>
          <w:rFonts w:ascii="Times New Roman" w:hAnsi="Times New Roman" w:cs="Times New Roman"/>
          <w:color w:val="222222"/>
          <w:sz w:val="24"/>
          <w:szCs w:val="24"/>
          <w:shd w:val="clear" w:color="auto" w:fill="FFFFFF"/>
        </w:rPr>
        <w:t xml:space="preserve"> </w:t>
      </w:r>
      <w:r w:rsidR="003C3475" w:rsidRPr="00830771">
        <w:rPr>
          <w:rFonts w:ascii="Times New Roman" w:hAnsi="Times New Roman" w:cs="Times New Roman"/>
          <w:color w:val="222222"/>
          <w:sz w:val="24"/>
          <w:szCs w:val="24"/>
          <w:shd w:val="clear" w:color="auto" w:fill="FFFFFF"/>
        </w:rPr>
        <w:t>1997</w:t>
      </w:r>
      <w:r w:rsidR="009F19AD">
        <w:rPr>
          <w:rFonts w:ascii="Times New Roman" w:hAnsi="Times New Roman" w:cs="Times New Roman"/>
          <w:sz w:val="24"/>
          <w:szCs w:val="24"/>
        </w:rPr>
        <w:t xml:space="preserve">). </w:t>
      </w:r>
      <w:r w:rsidR="00CF4D44">
        <w:rPr>
          <w:rFonts w:ascii="Times New Roman" w:hAnsi="Times New Roman" w:cs="Times New Roman"/>
          <w:sz w:val="24"/>
          <w:szCs w:val="24"/>
        </w:rPr>
        <w:t>The challenges of school health program are the discrepancies between actual and expected results in terms of policy implementation at school (Darlington</w:t>
      </w:r>
      <w:r w:rsidR="00777524">
        <w:rPr>
          <w:rFonts w:ascii="Times New Roman" w:hAnsi="Times New Roman" w:cs="Times New Roman"/>
          <w:sz w:val="24"/>
          <w:szCs w:val="24"/>
        </w:rPr>
        <w:t xml:space="preserve"> et al.</w:t>
      </w:r>
      <w:r w:rsidR="00CF4D44">
        <w:rPr>
          <w:rFonts w:ascii="Times New Roman" w:hAnsi="Times New Roman" w:cs="Times New Roman"/>
          <w:sz w:val="24"/>
          <w:szCs w:val="24"/>
        </w:rPr>
        <w:t xml:space="preserve">, 2018). </w:t>
      </w:r>
      <w:r w:rsidR="002F08AD">
        <w:rPr>
          <w:rFonts w:ascii="Times New Roman" w:hAnsi="Times New Roman" w:cs="Times New Roman"/>
          <w:sz w:val="24"/>
          <w:szCs w:val="24"/>
        </w:rPr>
        <w:t>Therefore, the relationship between learning outcomes and school health should be explored (</w:t>
      </w:r>
      <w:proofErr w:type="spellStart"/>
      <w:r w:rsidR="002F08AD">
        <w:rPr>
          <w:rFonts w:ascii="Times New Roman" w:hAnsi="Times New Roman" w:cs="Times New Roman"/>
          <w:sz w:val="24"/>
          <w:szCs w:val="24"/>
          <w:lang w:bidi="km-KH"/>
        </w:rPr>
        <w:t>Meroni</w:t>
      </w:r>
      <w:proofErr w:type="spellEnd"/>
      <w:r w:rsidR="002F08AD">
        <w:rPr>
          <w:rFonts w:ascii="Times New Roman" w:hAnsi="Times New Roman" w:cs="Times New Roman"/>
          <w:sz w:val="24"/>
          <w:szCs w:val="24"/>
          <w:lang w:bidi="km-KH"/>
        </w:rPr>
        <w:t xml:space="preserve"> &amp; Velasco, 2023</w:t>
      </w:r>
      <w:r w:rsidR="002F08AD">
        <w:rPr>
          <w:rFonts w:ascii="Times New Roman" w:hAnsi="Times New Roman" w:cs="Times New Roman"/>
          <w:sz w:val="24"/>
          <w:szCs w:val="24"/>
        </w:rPr>
        <w:t>).</w:t>
      </w:r>
      <w:r w:rsidR="00FD0060">
        <w:rPr>
          <w:rFonts w:ascii="Times New Roman" w:hAnsi="Times New Roman" w:cs="Times New Roman"/>
          <w:sz w:val="24"/>
          <w:szCs w:val="24"/>
        </w:rPr>
        <w:t xml:space="preserve"> </w:t>
      </w:r>
    </w:p>
    <w:p w14:paraId="02F96814" w14:textId="32859CC8" w:rsidR="00613F0F" w:rsidRDefault="00613F0F" w:rsidP="009C6E9F">
      <w:pPr>
        <w:spacing w:line="360" w:lineRule="auto"/>
        <w:jc w:val="both"/>
        <w:rPr>
          <w:rFonts w:ascii="Times New Roman" w:hAnsi="Times New Roman" w:cs="Times New Roman"/>
          <w:sz w:val="24"/>
          <w:szCs w:val="24"/>
        </w:rPr>
      </w:pPr>
      <w:r>
        <w:rPr>
          <w:rFonts w:ascii="Times New Roman" w:hAnsi="Times New Roman" w:cs="Times New Roman"/>
          <w:sz w:val="24"/>
          <w:szCs w:val="24"/>
        </w:rPr>
        <w:t>The healthy food awareness-raising programs and healthcare activities have been promoted for all schools in Cambodia to ensure that students and education officers receive health care services from schools appropriately (</w:t>
      </w:r>
      <w:proofErr w:type="spellStart"/>
      <w:r>
        <w:rPr>
          <w:rFonts w:ascii="Times New Roman" w:hAnsi="Times New Roman" w:cs="Times New Roman"/>
          <w:sz w:val="24"/>
          <w:szCs w:val="24"/>
        </w:rPr>
        <w:t>MoEYS</w:t>
      </w:r>
      <w:proofErr w:type="spellEnd"/>
      <w:r>
        <w:rPr>
          <w:rFonts w:ascii="Times New Roman" w:hAnsi="Times New Roman" w:cs="Times New Roman"/>
          <w:sz w:val="24"/>
          <w:szCs w:val="24"/>
        </w:rPr>
        <w:t xml:space="preserve">, 2006). In this regard, the results </w:t>
      </w:r>
      <w:r w:rsidR="00241BE0">
        <w:rPr>
          <w:rFonts w:ascii="Times New Roman" w:hAnsi="Times New Roman" w:cs="Times New Roman"/>
          <w:sz w:val="24"/>
          <w:szCs w:val="24"/>
        </w:rPr>
        <w:t xml:space="preserve">will be beneficial for stakeholders. Policy makers will be guided functionally to focus on school health promotion reflecting students’ learning outcomes. The government will put concerted efforts in investing in school health promotion activities such as providing necessary capacity-building programs for school health officers along with supporting health facilities and equipment. </w:t>
      </w:r>
      <w:r w:rsidR="00F63203">
        <w:rPr>
          <w:rFonts w:ascii="Times New Roman" w:hAnsi="Times New Roman" w:cs="Times New Roman"/>
          <w:sz w:val="24"/>
          <w:szCs w:val="24"/>
        </w:rPr>
        <w:t xml:space="preserve">The curriculum developers will be specifically guided on how to integrate school health activities into the school curriculum. </w:t>
      </w:r>
      <w:r w:rsidR="00FA14E9">
        <w:rPr>
          <w:rFonts w:ascii="Times New Roman" w:hAnsi="Times New Roman" w:cs="Times New Roman"/>
          <w:sz w:val="24"/>
          <w:szCs w:val="24"/>
        </w:rPr>
        <w:t xml:space="preserve">The school management will be well aware of how to support </w:t>
      </w:r>
      <w:r w:rsidR="00FA14E9">
        <w:rPr>
          <w:rFonts w:ascii="Times New Roman" w:hAnsi="Times New Roman" w:cs="Times New Roman"/>
          <w:sz w:val="24"/>
          <w:szCs w:val="24"/>
        </w:rPr>
        <w:lastRenderedPageBreak/>
        <w:t xml:space="preserve">school health officers with necessary requirements. </w:t>
      </w:r>
      <w:r w:rsidR="00306F41">
        <w:rPr>
          <w:rFonts w:ascii="Times New Roman" w:hAnsi="Times New Roman" w:cs="Times New Roman"/>
          <w:sz w:val="24"/>
          <w:szCs w:val="24"/>
        </w:rPr>
        <w:t>S</w:t>
      </w:r>
      <w:r w:rsidR="00FA14E9">
        <w:rPr>
          <w:rFonts w:ascii="Times New Roman" w:hAnsi="Times New Roman" w:cs="Times New Roman"/>
          <w:sz w:val="24"/>
          <w:szCs w:val="24"/>
        </w:rPr>
        <w:t xml:space="preserve">tudents will be aware of how to live in </w:t>
      </w:r>
      <w:r w:rsidR="00C336A8">
        <w:rPr>
          <w:rFonts w:ascii="Times New Roman" w:hAnsi="Times New Roman" w:cs="Times New Roman"/>
          <w:sz w:val="24"/>
          <w:szCs w:val="24"/>
        </w:rPr>
        <w:t xml:space="preserve">a </w:t>
      </w:r>
      <w:r w:rsidR="00FA14E9">
        <w:rPr>
          <w:rFonts w:ascii="Times New Roman" w:hAnsi="Times New Roman" w:cs="Times New Roman"/>
          <w:sz w:val="24"/>
          <w:szCs w:val="24"/>
        </w:rPr>
        <w:t>healthy lifestyle to avoid illnesses and diseases</w:t>
      </w:r>
      <w:r w:rsidR="00C336A8">
        <w:rPr>
          <w:rFonts w:ascii="Times New Roman" w:hAnsi="Times New Roman" w:cs="Times New Roman"/>
          <w:sz w:val="24"/>
          <w:szCs w:val="24"/>
        </w:rPr>
        <w:t xml:space="preserve">. </w:t>
      </w:r>
      <w:r w:rsidR="00235C25">
        <w:rPr>
          <w:rFonts w:ascii="Times New Roman" w:hAnsi="Times New Roman" w:cs="Times New Roman"/>
          <w:sz w:val="24"/>
          <w:szCs w:val="24"/>
        </w:rPr>
        <w:t xml:space="preserve"> </w:t>
      </w:r>
      <w:r w:rsidR="004C70BE">
        <w:rPr>
          <w:rFonts w:ascii="Times New Roman" w:hAnsi="Times New Roman" w:cs="Times New Roman"/>
          <w:sz w:val="24"/>
          <w:szCs w:val="24"/>
        </w:rPr>
        <w:t xml:space="preserve">Therefore, the role of each stakeholder will be adhesive for effective implementation. </w:t>
      </w:r>
    </w:p>
    <w:p w14:paraId="16E16044" w14:textId="5C6CF11B" w:rsidR="005829EF" w:rsidRDefault="005829EF"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 health plays an integral part in</w:t>
      </w:r>
      <w:r w:rsidR="00660284">
        <w:rPr>
          <w:rFonts w:ascii="Times New Roman" w:hAnsi="Times New Roman" w:cs="Times New Roman"/>
          <w:sz w:val="24"/>
          <w:szCs w:val="24"/>
        </w:rPr>
        <w:t xml:space="preserve"> schooling stainability to ensure that </w:t>
      </w:r>
      <w:r w:rsidR="009C6E9F">
        <w:rPr>
          <w:rFonts w:ascii="Times New Roman" w:hAnsi="Times New Roman" w:cs="Times New Roman"/>
          <w:sz w:val="24"/>
          <w:szCs w:val="24"/>
        </w:rPr>
        <w:t>students and teachers have safe well-being including psychological health with appropriate school health infrastructure, school health management committee, tap water and sanitation promotion, nutritious food regulation and control, and school health education and dissemination (</w:t>
      </w:r>
      <w:proofErr w:type="spellStart"/>
      <w:r w:rsidR="009C6E9F">
        <w:rPr>
          <w:rFonts w:ascii="Times New Roman" w:hAnsi="Times New Roman" w:cs="Times New Roman"/>
          <w:sz w:val="24"/>
          <w:szCs w:val="24"/>
        </w:rPr>
        <w:t>MoEYS</w:t>
      </w:r>
      <w:proofErr w:type="spellEnd"/>
      <w:r w:rsidR="009C6E9F">
        <w:rPr>
          <w:rFonts w:ascii="Times New Roman" w:hAnsi="Times New Roman" w:cs="Times New Roman"/>
          <w:sz w:val="24"/>
          <w:szCs w:val="24"/>
        </w:rPr>
        <w:t>, 2023).</w:t>
      </w:r>
      <w:r w:rsidR="004C7FFD">
        <w:rPr>
          <w:rFonts w:ascii="Times New Roman" w:hAnsi="Times New Roman" w:cs="Times New Roman"/>
          <w:sz w:val="24"/>
          <w:szCs w:val="24"/>
        </w:rPr>
        <w:t xml:space="preserve"> All learners are included and encouraged to finish upper-secondary education level with productive learning outcomes by accessing quality technical education </w:t>
      </w:r>
      <w:r w:rsidR="0060572B">
        <w:rPr>
          <w:rFonts w:ascii="Times New Roman" w:hAnsi="Times New Roman" w:cs="Times New Roman"/>
          <w:sz w:val="24"/>
          <w:szCs w:val="24"/>
        </w:rPr>
        <w:t xml:space="preserve">with good health </w:t>
      </w:r>
      <w:r w:rsidR="004C7FFD">
        <w:rPr>
          <w:rFonts w:ascii="Times New Roman" w:hAnsi="Times New Roman" w:cs="Times New Roman"/>
          <w:sz w:val="24"/>
          <w:szCs w:val="24"/>
        </w:rPr>
        <w:t>(</w:t>
      </w:r>
      <w:proofErr w:type="spellStart"/>
      <w:r w:rsidR="004C7FFD">
        <w:rPr>
          <w:rFonts w:ascii="Times New Roman" w:hAnsi="Times New Roman" w:cs="Times New Roman"/>
          <w:sz w:val="24"/>
          <w:szCs w:val="24"/>
        </w:rPr>
        <w:t>MoEYS</w:t>
      </w:r>
      <w:proofErr w:type="spellEnd"/>
      <w:r w:rsidR="004C7FFD">
        <w:rPr>
          <w:rFonts w:ascii="Times New Roman" w:hAnsi="Times New Roman" w:cs="Times New Roman"/>
          <w:sz w:val="24"/>
          <w:szCs w:val="24"/>
        </w:rPr>
        <w:t>, 2019</w:t>
      </w:r>
      <w:r w:rsidR="00F417C5">
        <w:rPr>
          <w:rFonts w:ascii="Times New Roman" w:hAnsi="Times New Roman" w:cs="Times New Roman"/>
          <w:sz w:val="24"/>
          <w:szCs w:val="24"/>
        </w:rPr>
        <w:t>a</w:t>
      </w:r>
      <w:r w:rsidR="004C7FFD">
        <w:rPr>
          <w:rFonts w:ascii="Times New Roman" w:hAnsi="Times New Roman" w:cs="Times New Roman"/>
          <w:sz w:val="24"/>
          <w:szCs w:val="24"/>
        </w:rPr>
        <w:t xml:space="preserve">). </w:t>
      </w:r>
      <w:r w:rsidR="006244AF">
        <w:rPr>
          <w:rFonts w:ascii="Times New Roman" w:hAnsi="Times New Roman" w:cs="Times New Roman"/>
          <w:sz w:val="24"/>
          <w:szCs w:val="24"/>
        </w:rPr>
        <w:t xml:space="preserve">Therefore, the study on the relationship between school health and learning outcomes should be undertaken </w:t>
      </w:r>
      <w:r w:rsidR="0060572B">
        <w:rPr>
          <w:rFonts w:ascii="Times New Roman" w:hAnsi="Times New Roman" w:cs="Times New Roman"/>
          <w:sz w:val="24"/>
          <w:szCs w:val="24"/>
        </w:rPr>
        <w:t xml:space="preserve">to raise challenges and recommendations for further actions </w:t>
      </w:r>
      <w:r w:rsidR="006244AF">
        <w:rPr>
          <w:rFonts w:ascii="Times New Roman" w:hAnsi="Times New Roman" w:cs="Times New Roman"/>
          <w:sz w:val="24"/>
          <w:szCs w:val="24"/>
        </w:rPr>
        <w:t>(</w:t>
      </w:r>
      <w:proofErr w:type="spellStart"/>
      <w:r w:rsidR="006244AF">
        <w:rPr>
          <w:rFonts w:ascii="Times New Roman" w:hAnsi="Times New Roman" w:cs="Times New Roman"/>
          <w:sz w:val="24"/>
          <w:szCs w:val="24"/>
        </w:rPr>
        <w:t>Cygan</w:t>
      </w:r>
      <w:proofErr w:type="spellEnd"/>
      <w:r w:rsidR="007E224E">
        <w:rPr>
          <w:rFonts w:ascii="Times New Roman" w:hAnsi="Times New Roman" w:cs="Times New Roman"/>
          <w:sz w:val="24"/>
          <w:szCs w:val="24"/>
        </w:rPr>
        <w:t xml:space="preserve"> et al.</w:t>
      </w:r>
      <w:r w:rsidR="006244AF">
        <w:rPr>
          <w:rFonts w:ascii="Times New Roman" w:hAnsi="Times New Roman" w:cs="Times New Roman"/>
          <w:sz w:val="24"/>
          <w:szCs w:val="24"/>
        </w:rPr>
        <w:t xml:space="preserve">, 2020).  </w:t>
      </w:r>
    </w:p>
    <w:p w14:paraId="6292F56C" w14:textId="77777777" w:rsidR="00597E1A" w:rsidRDefault="00597E1A" w:rsidP="00615DD3">
      <w:pPr>
        <w:spacing w:after="0" w:line="360" w:lineRule="auto"/>
        <w:jc w:val="both"/>
        <w:rPr>
          <w:rFonts w:ascii="Times New Roman" w:hAnsi="Times New Roman" w:cs="Times New Roman"/>
          <w:sz w:val="24"/>
          <w:szCs w:val="24"/>
        </w:rPr>
      </w:pPr>
    </w:p>
    <w:p w14:paraId="33BE3EAA" w14:textId="1C618CDF" w:rsidR="0044225F" w:rsidRDefault="003248BA"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objective is to examine the relationship between school health and students’ learning outcomes. T</w:t>
      </w:r>
      <w:r w:rsidR="0044225F">
        <w:rPr>
          <w:rFonts w:ascii="Times New Roman" w:hAnsi="Times New Roman" w:cs="Times New Roman"/>
          <w:sz w:val="24"/>
          <w:szCs w:val="24"/>
        </w:rPr>
        <w:t>wo</w:t>
      </w:r>
      <w:r>
        <w:rPr>
          <w:rFonts w:ascii="Times New Roman" w:hAnsi="Times New Roman" w:cs="Times New Roman"/>
          <w:sz w:val="24"/>
          <w:szCs w:val="24"/>
        </w:rPr>
        <w:t xml:space="preserve"> research question</w:t>
      </w:r>
      <w:r w:rsidR="0044225F">
        <w:rPr>
          <w:rFonts w:ascii="Times New Roman" w:hAnsi="Times New Roman" w:cs="Times New Roman"/>
          <w:sz w:val="24"/>
          <w:szCs w:val="24"/>
        </w:rPr>
        <w:t>s</w:t>
      </w:r>
      <w:r w:rsidR="003A0545">
        <w:rPr>
          <w:rFonts w:ascii="Times New Roman" w:hAnsi="Times New Roman" w:cs="Times New Roman"/>
          <w:sz w:val="24"/>
          <w:szCs w:val="24"/>
        </w:rPr>
        <w:t xml:space="preserve"> were raised as follows</w:t>
      </w:r>
      <w:r w:rsidR="0044225F">
        <w:rPr>
          <w:rFonts w:ascii="Times New Roman" w:hAnsi="Times New Roman" w:cs="Times New Roman"/>
          <w:sz w:val="24"/>
          <w:szCs w:val="24"/>
        </w:rPr>
        <w:t>:</w:t>
      </w:r>
    </w:p>
    <w:p w14:paraId="123E57CB" w14:textId="2DB74775" w:rsidR="00405586" w:rsidRDefault="00897549" w:rsidP="00615D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there a significant relationship between the school health and students’ learning outcomes</w:t>
      </w:r>
      <w:r w:rsidR="00762CB4" w:rsidRPr="0044225F">
        <w:rPr>
          <w:rFonts w:ascii="Times New Roman" w:hAnsi="Times New Roman" w:cs="Times New Roman"/>
          <w:sz w:val="24"/>
          <w:szCs w:val="24"/>
        </w:rPr>
        <w:t>?</w:t>
      </w:r>
    </w:p>
    <w:p w14:paraId="7D6174F7" w14:textId="1239AD41" w:rsidR="0044225F" w:rsidRDefault="00031DD8" w:rsidP="00615D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students’ family socio-economic status reflect students’ learning outcomes? </w:t>
      </w:r>
    </w:p>
    <w:p w14:paraId="3238C030" w14:textId="77777777" w:rsidR="00B365E3" w:rsidRDefault="00B365E3" w:rsidP="00B365E3">
      <w:pPr>
        <w:pStyle w:val="ListParagraph"/>
        <w:spacing w:after="0" w:line="360" w:lineRule="auto"/>
        <w:jc w:val="both"/>
        <w:rPr>
          <w:rFonts w:ascii="Times New Roman" w:hAnsi="Times New Roman" w:cs="Times New Roman"/>
          <w:sz w:val="24"/>
          <w:szCs w:val="24"/>
        </w:rPr>
      </w:pPr>
    </w:p>
    <w:p w14:paraId="49B861EA" w14:textId="1C3964A3" w:rsidR="0053382F" w:rsidRDefault="0053382F"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A0545">
        <w:rPr>
          <w:rFonts w:ascii="Times New Roman" w:hAnsi="Times New Roman" w:cs="Times New Roman"/>
          <w:sz w:val="24"/>
          <w:szCs w:val="24"/>
        </w:rPr>
        <w:t xml:space="preserve">o support two research questions, </w:t>
      </w:r>
      <w:r>
        <w:rPr>
          <w:rFonts w:ascii="Times New Roman" w:hAnsi="Times New Roman" w:cs="Times New Roman"/>
          <w:sz w:val="24"/>
          <w:szCs w:val="24"/>
        </w:rPr>
        <w:t xml:space="preserve">five hypotheses </w:t>
      </w:r>
      <w:r w:rsidR="003A0545">
        <w:rPr>
          <w:rFonts w:ascii="Times New Roman" w:hAnsi="Times New Roman" w:cs="Times New Roman"/>
          <w:sz w:val="24"/>
          <w:szCs w:val="24"/>
        </w:rPr>
        <w:t>were</w:t>
      </w:r>
      <w:r>
        <w:rPr>
          <w:rFonts w:ascii="Times New Roman" w:hAnsi="Times New Roman" w:cs="Times New Roman"/>
          <w:sz w:val="24"/>
          <w:szCs w:val="24"/>
        </w:rPr>
        <w:t xml:space="preserve"> test</w:t>
      </w:r>
      <w:r w:rsidR="003A0545">
        <w:rPr>
          <w:rFonts w:ascii="Times New Roman" w:hAnsi="Times New Roman" w:cs="Times New Roman"/>
          <w:sz w:val="24"/>
          <w:szCs w:val="24"/>
        </w:rPr>
        <w:t xml:space="preserve">ed. </w:t>
      </w:r>
    </w:p>
    <w:p w14:paraId="327A3591" w14:textId="20F917B7" w:rsidR="0053382F" w:rsidRDefault="0053382F"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Hypothesis 1: There are different perceptions of school health between students’ genders.</w:t>
      </w:r>
    </w:p>
    <w:p w14:paraId="0F0F9BDA" w14:textId="707A5C8D" w:rsidR="0053382F" w:rsidRDefault="0053382F"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2: There </w:t>
      </w:r>
      <w:r w:rsidR="00AE0244">
        <w:rPr>
          <w:rFonts w:ascii="Times New Roman" w:hAnsi="Times New Roman" w:cs="Times New Roman"/>
          <w:sz w:val="24"/>
          <w:szCs w:val="24"/>
        </w:rPr>
        <w:t>are</w:t>
      </w:r>
      <w:r>
        <w:rPr>
          <w:rFonts w:ascii="Times New Roman" w:hAnsi="Times New Roman" w:cs="Times New Roman"/>
          <w:sz w:val="24"/>
          <w:szCs w:val="24"/>
        </w:rPr>
        <w:t xml:space="preserve"> different perception</w:t>
      </w:r>
      <w:r w:rsidR="00AE0244">
        <w:rPr>
          <w:rFonts w:ascii="Times New Roman" w:hAnsi="Times New Roman" w:cs="Times New Roman"/>
          <w:sz w:val="24"/>
          <w:szCs w:val="24"/>
        </w:rPr>
        <w:t>s</w:t>
      </w:r>
      <w:r>
        <w:rPr>
          <w:rFonts w:ascii="Times New Roman" w:hAnsi="Times New Roman" w:cs="Times New Roman"/>
          <w:sz w:val="24"/>
          <w:szCs w:val="24"/>
        </w:rPr>
        <w:t xml:space="preserve"> of school health among family </w:t>
      </w:r>
      <w:r w:rsidR="003D14C5">
        <w:rPr>
          <w:rFonts w:ascii="Times New Roman" w:hAnsi="Times New Roman" w:cs="Times New Roman"/>
          <w:sz w:val="24"/>
          <w:szCs w:val="24"/>
        </w:rPr>
        <w:t xml:space="preserve">socio-economic </w:t>
      </w:r>
      <w:r>
        <w:rPr>
          <w:rFonts w:ascii="Times New Roman" w:hAnsi="Times New Roman" w:cs="Times New Roman"/>
          <w:sz w:val="24"/>
          <w:szCs w:val="24"/>
        </w:rPr>
        <w:t>status</w:t>
      </w:r>
      <w:r w:rsidR="003D14C5">
        <w:rPr>
          <w:rFonts w:ascii="Times New Roman" w:hAnsi="Times New Roman" w:cs="Times New Roman"/>
          <w:sz w:val="24"/>
          <w:szCs w:val="24"/>
        </w:rPr>
        <w:t>.</w:t>
      </w:r>
    </w:p>
    <w:p w14:paraId="1FBE783F" w14:textId="18477FFA" w:rsidR="0053382F" w:rsidRDefault="0053382F"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Hypothesis 3: There are different perception</w:t>
      </w:r>
      <w:r w:rsidR="00CA4AA3">
        <w:rPr>
          <w:rFonts w:ascii="Times New Roman" w:hAnsi="Times New Roman" w:cs="Times New Roman"/>
          <w:sz w:val="24"/>
          <w:szCs w:val="24"/>
        </w:rPr>
        <w:t>s</w:t>
      </w:r>
      <w:r>
        <w:rPr>
          <w:rFonts w:ascii="Times New Roman" w:hAnsi="Times New Roman" w:cs="Times New Roman"/>
          <w:sz w:val="24"/>
          <w:szCs w:val="24"/>
        </w:rPr>
        <w:t xml:space="preserve"> of school health among students’ age cohort</w:t>
      </w:r>
      <w:r w:rsidR="00CA4AA3">
        <w:rPr>
          <w:rFonts w:ascii="Times New Roman" w:hAnsi="Times New Roman" w:cs="Times New Roman"/>
          <w:sz w:val="24"/>
          <w:szCs w:val="24"/>
        </w:rPr>
        <w:t>s</w:t>
      </w:r>
      <w:r>
        <w:rPr>
          <w:rFonts w:ascii="Times New Roman" w:hAnsi="Times New Roman" w:cs="Times New Roman"/>
          <w:sz w:val="24"/>
          <w:szCs w:val="24"/>
        </w:rPr>
        <w:t>.</w:t>
      </w:r>
    </w:p>
    <w:p w14:paraId="0DD4204F" w14:textId="2F9F556D" w:rsidR="0053382F" w:rsidRDefault="0053382F"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Hypothesis 4: There are different results of students’ learning outcomes among selected trades.</w:t>
      </w:r>
    </w:p>
    <w:p w14:paraId="0E9CF29E" w14:textId="27D9346F" w:rsidR="0053382F" w:rsidRDefault="0053382F" w:rsidP="00615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5: </w:t>
      </w:r>
      <w:r w:rsidR="00615DD3">
        <w:rPr>
          <w:rFonts w:ascii="Times New Roman" w:hAnsi="Times New Roman" w:cs="Times New Roman"/>
          <w:sz w:val="24"/>
          <w:szCs w:val="24"/>
        </w:rPr>
        <w:t xml:space="preserve">There are different learning outcomes among students’ family status. </w:t>
      </w:r>
    </w:p>
    <w:p w14:paraId="52BD445D" w14:textId="77777777" w:rsidR="00311473" w:rsidRDefault="00311473" w:rsidP="00615DD3">
      <w:pPr>
        <w:spacing w:after="0" w:line="360" w:lineRule="auto"/>
        <w:jc w:val="both"/>
        <w:rPr>
          <w:rFonts w:ascii="Times New Roman" w:hAnsi="Times New Roman" w:cs="Times New Roman"/>
          <w:sz w:val="24"/>
          <w:szCs w:val="24"/>
        </w:rPr>
      </w:pPr>
    </w:p>
    <w:p w14:paraId="01A0BA5F" w14:textId="77777777" w:rsidR="00007E3C" w:rsidRDefault="00007E3C" w:rsidP="00615DD3">
      <w:pPr>
        <w:spacing w:after="0" w:line="360" w:lineRule="auto"/>
        <w:jc w:val="both"/>
        <w:rPr>
          <w:rFonts w:ascii="Times New Roman" w:hAnsi="Times New Roman" w:cs="Times New Roman"/>
          <w:sz w:val="24"/>
          <w:szCs w:val="24"/>
        </w:rPr>
      </w:pPr>
    </w:p>
    <w:p w14:paraId="283C0CA1" w14:textId="77777777" w:rsidR="00007E3C" w:rsidRDefault="00007E3C" w:rsidP="00615DD3">
      <w:pPr>
        <w:spacing w:after="0" w:line="360" w:lineRule="auto"/>
        <w:jc w:val="both"/>
        <w:rPr>
          <w:rFonts w:ascii="Times New Roman" w:hAnsi="Times New Roman" w:cs="Times New Roman"/>
          <w:sz w:val="24"/>
          <w:szCs w:val="24"/>
        </w:rPr>
      </w:pPr>
    </w:p>
    <w:p w14:paraId="544B1A43" w14:textId="77777777" w:rsidR="00007E3C" w:rsidRDefault="00007E3C" w:rsidP="00615DD3">
      <w:pPr>
        <w:spacing w:after="0" w:line="360" w:lineRule="auto"/>
        <w:jc w:val="both"/>
        <w:rPr>
          <w:rFonts w:ascii="Times New Roman" w:hAnsi="Times New Roman" w:cs="Times New Roman"/>
          <w:sz w:val="24"/>
          <w:szCs w:val="24"/>
        </w:rPr>
      </w:pPr>
    </w:p>
    <w:p w14:paraId="5EA9ACE4" w14:textId="77777777" w:rsidR="00007E3C" w:rsidRDefault="00007E3C" w:rsidP="00615DD3">
      <w:pPr>
        <w:spacing w:after="0" w:line="360" w:lineRule="auto"/>
        <w:jc w:val="both"/>
        <w:rPr>
          <w:rFonts w:ascii="Times New Roman" w:hAnsi="Times New Roman" w:cs="Times New Roman"/>
          <w:sz w:val="24"/>
          <w:szCs w:val="24"/>
        </w:rPr>
      </w:pPr>
    </w:p>
    <w:p w14:paraId="61B08A29" w14:textId="77777777" w:rsidR="00007E3C" w:rsidRDefault="00007E3C" w:rsidP="00615DD3">
      <w:pPr>
        <w:spacing w:after="0" w:line="360" w:lineRule="auto"/>
        <w:jc w:val="both"/>
        <w:rPr>
          <w:rFonts w:ascii="Times New Roman" w:hAnsi="Times New Roman" w:cs="Times New Roman"/>
          <w:sz w:val="24"/>
          <w:szCs w:val="24"/>
        </w:rPr>
      </w:pPr>
    </w:p>
    <w:p w14:paraId="6AF5D038" w14:textId="77777777" w:rsidR="00007E3C" w:rsidRPr="0053382F" w:rsidRDefault="00007E3C" w:rsidP="00615DD3">
      <w:pPr>
        <w:spacing w:after="0" w:line="360" w:lineRule="auto"/>
        <w:jc w:val="both"/>
        <w:rPr>
          <w:rFonts w:ascii="Times New Roman" w:hAnsi="Times New Roman" w:cs="Times New Roman"/>
          <w:sz w:val="24"/>
          <w:szCs w:val="24"/>
        </w:rPr>
      </w:pPr>
    </w:p>
    <w:p w14:paraId="7066B45F" w14:textId="765E0CC4" w:rsidR="00405586" w:rsidRPr="00C332B0" w:rsidRDefault="00405586" w:rsidP="00405586">
      <w:pPr>
        <w:jc w:val="center"/>
        <w:rPr>
          <w:rFonts w:ascii="Times New Roman" w:hAnsi="Times New Roman" w:cs="Times New Roman"/>
          <w:b/>
          <w:bCs/>
          <w:sz w:val="24"/>
          <w:szCs w:val="24"/>
        </w:rPr>
      </w:pPr>
      <w:r w:rsidRPr="00C332B0">
        <w:rPr>
          <w:rFonts w:ascii="Times New Roman" w:hAnsi="Times New Roman" w:cs="Times New Roman"/>
          <w:b/>
          <w:bCs/>
          <w:sz w:val="24"/>
          <w:szCs w:val="24"/>
        </w:rPr>
        <w:lastRenderedPageBreak/>
        <w:t>Literature Review</w:t>
      </w:r>
    </w:p>
    <w:p w14:paraId="111CB21E" w14:textId="07890B4C" w:rsidR="00405586" w:rsidRDefault="00043308" w:rsidP="00841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Much attention has been paid on school health to students in the school environment as a school is the first option for students to receive </w:t>
      </w:r>
      <w:r w:rsidR="005D5AEC">
        <w:rPr>
          <w:rFonts w:ascii="Times New Roman" w:hAnsi="Times New Roman" w:cs="Times New Roman"/>
          <w:sz w:val="24"/>
          <w:szCs w:val="24"/>
        </w:rPr>
        <w:t>health</w:t>
      </w:r>
      <w:r>
        <w:rPr>
          <w:rFonts w:ascii="Times New Roman" w:hAnsi="Times New Roman" w:cs="Times New Roman"/>
          <w:sz w:val="24"/>
          <w:szCs w:val="24"/>
        </w:rPr>
        <w:t xml:space="preserve"> service (</w:t>
      </w:r>
      <w:r w:rsidR="0084192B" w:rsidRPr="0084192B">
        <w:rPr>
          <w:rFonts w:ascii="Times New Roman" w:hAnsi="Times New Roman" w:cs="Times New Roman"/>
          <w:color w:val="222222"/>
          <w:sz w:val="24"/>
          <w:szCs w:val="24"/>
          <w:shd w:val="clear" w:color="auto" w:fill="FFFFFF"/>
        </w:rPr>
        <w:t>Kelley &amp; Silva-Padrón,</w:t>
      </w:r>
      <w:r w:rsidR="0084192B">
        <w:rPr>
          <w:rFonts w:ascii="Times New Roman" w:hAnsi="Times New Roman" w:cs="Times New Roman"/>
          <w:color w:val="222222"/>
          <w:sz w:val="24"/>
          <w:szCs w:val="24"/>
          <w:shd w:val="clear" w:color="auto" w:fill="FFFFFF"/>
        </w:rPr>
        <w:t xml:space="preserve"> </w:t>
      </w:r>
      <w:r w:rsidR="0084192B" w:rsidRPr="0084192B">
        <w:rPr>
          <w:rFonts w:ascii="Times New Roman" w:hAnsi="Times New Roman" w:cs="Times New Roman"/>
          <w:color w:val="222222"/>
          <w:sz w:val="24"/>
          <w:szCs w:val="24"/>
          <w:shd w:val="clear" w:color="auto" w:fill="FFFFFF"/>
        </w:rPr>
        <w:t>2023</w:t>
      </w:r>
      <w:r>
        <w:rPr>
          <w:rFonts w:ascii="Times New Roman" w:hAnsi="Times New Roman" w:cs="Times New Roman"/>
          <w:sz w:val="24"/>
          <w:szCs w:val="24"/>
        </w:rPr>
        <w:t xml:space="preserve">). </w:t>
      </w:r>
      <w:r w:rsidR="00BF046B">
        <w:rPr>
          <w:rFonts w:ascii="Times New Roman" w:hAnsi="Times New Roman" w:cs="Times New Roman"/>
          <w:sz w:val="24"/>
          <w:szCs w:val="24"/>
        </w:rPr>
        <w:t xml:space="preserve">Many theories and practices have been discussed to explore the relationship between school health and students’ learning outcomes. However, </w:t>
      </w:r>
      <w:r w:rsidR="006828CC">
        <w:rPr>
          <w:rFonts w:ascii="Times New Roman" w:hAnsi="Times New Roman" w:cs="Times New Roman"/>
          <w:sz w:val="24"/>
          <w:szCs w:val="24"/>
        </w:rPr>
        <w:t xml:space="preserve">the literature encapsulated a broad variety of school health and learning outcomes without specific theories and relationship. A lack of recent interventions suggest that existing theories and relationship may not remedy the emerging drawbacks. Therefore, the literature highlights three topics with different contexts and settings as follows: </w:t>
      </w:r>
    </w:p>
    <w:p w14:paraId="1797FC58" w14:textId="61A88C5A" w:rsidR="005B66FD" w:rsidRPr="005B66FD" w:rsidRDefault="005B66FD">
      <w:pPr>
        <w:rPr>
          <w:rFonts w:ascii="Times New Roman" w:hAnsi="Times New Roman" w:cs="Times New Roman"/>
          <w:b/>
          <w:bCs/>
          <w:sz w:val="24"/>
          <w:szCs w:val="24"/>
        </w:rPr>
      </w:pPr>
      <w:r w:rsidRPr="005B66FD">
        <w:rPr>
          <w:rFonts w:ascii="Times New Roman" w:hAnsi="Times New Roman" w:cs="Times New Roman"/>
          <w:b/>
          <w:bCs/>
          <w:sz w:val="24"/>
          <w:szCs w:val="24"/>
        </w:rPr>
        <w:t>School Health at Secondary Education Level</w:t>
      </w:r>
    </w:p>
    <w:p w14:paraId="511CC97B" w14:textId="24D7A06C" w:rsidR="005B66FD" w:rsidRDefault="00D45F36" w:rsidP="00A521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 health such as nutritious food, hygienic activities and healthy habits is necessary to ensure students learning without distraction </w:t>
      </w:r>
      <w:r w:rsidR="00B31654">
        <w:rPr>
          <w:rFonts w:ascii="Times New Roman" w:hAnsi="Times New Roman" w:cs="Times New Roman"/>
          <w:sz w:val="24"/>
          <w:szCs w:val="24"/>
        </w:rPr>
        <w:t xml:space="preserve">as part of school guideline </w:t>
      </w:r>
      <w:r>
        <w:rPr>
          <w:rFonts w:ascii="Times New Roman" w:hAnsi="Times New Roman" w:cs="Times New Roman"/>
          <w:sz w:val="24"/>
          <w:szCs w:val="24"/>
        </w:rPr>
        <w:t>(</w:t>
      </w:r>
      <w:proofErr w:type="spellStart"/>
      <w:r w:rsidR="00323941">
        <w:rPr>
          <w:rFonts w:ascii="Times New Roman" w:hAnsi="Times New Roman" w:cs="Times New Roman"/>
          <w:sz w:val="24"/>
          <w:szCs w:val="24"/>
        </w:rPr>
        <w:t>Afkar</w:t>
      </w:r>
      <w:proofErr w:type="spellEnd"/>
      <w:r w:rsidR="00323941">
        <w:rPr>
          <w:rFonts w:ascii="Times New Roman" w:hAnsi="Times New Roman" w:cs="Times New Roman"/>
          <w:sz w:val="24"/>
          <w:szCs w:val="24"/>
        </w:rPr>
        <w:t xml:space="preserve"> et al., 2023</w:t>
      </w:r>
      <w:r>
        <w:rPr>
          <w:rFonts w:ascii="Times New Roman" w:hAnsi="Times New Roman" w:cs="Times New Roman"/>
          <w:sz w:val="24"/>
          <w:szCs w:val="24"/>
        </w:rPr>
        <w:t>).</w:t>
      </w:r>
      <w:r w:rsidR="00E8722B">
        <w:rPr>
          <w:rFonts w:ascii="Times New Roman" w:hAnsi="Times New Roman" w:cs="Times New Roman"/>
          <w:sz w:val="24"/>
          <w:szCs w:val="24"/>
        </w:rPr>
        <w:t xml:space="preserve"> </w:t>
      </w:r>
      <w:r w:rsidR="00A52142">
        <w:rPr>
          <w:rFonts w:ascii="Times New Roman" w:hAnsi="Times New Roman" w:cs="Times New Roman"/>
          <w:sz w:val="24"/>
          <w:szCs w:val="24"/>
        </w:rPr>
        <w:t>The successful school health programs can be a result of relevant policy and framework implementation (</w:t>
      </w:r>
      <w:proofErr w:type="spellStart"/>
      <w:r w:rsidR="001420D1">
        <w:rPr>
          <w:rFonts w:ascii="Times New Roman" w:hAnsi="Times New Roman" w:cs="Times New Roman"/>
          <w:sz w:val="24"/>
          <w:szCs w:val="24"/>
        </w:rPr>
        <w:t>Cygan</w:t>
      </w:r>
      <w:proofErr w:type="spellEnd"/>
      <w:r w:rsidR="00F826EA">
        <w:rPr>
          <w:rFonts w:ascii="Times New Roman" w:hAnsi="Times New Roman" w:cs="Times New Roman"/>
          <w:sz w:val="24"/>
          <w:szCs w:val="24"/>
        </w:rPr>
        <w:t xml:space="preserve"> et al.</w:t>
      </w:r>
      <w:r w:rsidR="001420D1">
        <w:rPr>
          <w:rFonts w:ascii="Times New Roman" w:hAnsi="Times New Roman" w:cs="Times New Roman"/>
          <w:sz w:val="24"/>
          <w:szCs w:val="24"/>
        </w:rPr>
        <w:t>, 2020</w:t>
      </w:r>
      <w:r w:rsidR="00A52142">
        <w:rPr>
          <w:rFonts w:ascii="Times New Roman" w:hAnsi="Times New Roman" w:cs="Times New Roman"/>
          <w:sz w:val="24"/>
          <w:szCs w:val="24"/>
        </w:rPr>
        <w:t>).</w:t>
      </w:r>
      <w:r w:rsidR="008963D7">
        <w:rPr>
          <w:rFonts w:ascii="Times New Roman" w:hAnsi="Times New Roman" w:cs="Times New Roman"/>
          <w:sz w:val="24"/>
          <w:szCs w:val="24"/>
        </w:rPr>
        <w:t xml:space="preserve"> </w:t>
      </w:r>
      <w:r w:rsidR="00350AA2">
        <w:rPr>
          <w:rFonts w:ascii="Times New Roman" w:hAnsi="Times New Roman" w:cs="Times New Roman"/>
          <w:sz w:val="24"/>
          <w:szCs w:val="24"/>
        </w:rPr>
        <w:t>Therefore, school health is one of the critical successes for students’ academic lives following a set of health programs delivered (</w:t>
      </w:r>
      <w:proofErr w:type="spellStart"/>
      <w:r w:rsidR="00350AA2">
        <w:rPr>
          <w:rFonts w:ascii="Times New Roman" w:hAnsi="Times New Roman" w:cs="Times New Roman"/>
          <w:sz w:val="24"/>
          <w:szCs w:val="24"/>
        </w:rPr>
        <w:t>Sukamin</w:t>
      </w:r>
      <w:proofErr w:type="spellEnd"/>
      <w:r w:rsidR="00350AA2">
        <w:rPr>
          <w:rFonts w:ascii="Times New Roman" w:hAnsi="Times New Roman" w:cs="Times New Roman"/>
          <w:sz w:val="24"/>
          <w:szCs w:val="24"/>
        </w:rPr>
        <w:t xml:space="preserve"> &amp; Sin, 2021). </w:t>
      </w:r>
    </w:p>
    <w:p w14:paraId="5B379901" w14:textId="1B868723" w:rsidR="00CA56BB" w:rsidRDefault="00B87B7F" w:rsidP="00A52142">
      <w:pPr>
        <w:spacing w:line="360" w:lineRule="auto"/>
        <w:jc w:val="both"/>
        <w:rPr>
          <w:rFonts w:ascii="Times New Roman" w:hAnsi="Times New Roman" w:cs="Times New Roman"/>
          <w:sz w:val="24"/>
          <w:szCs w:val="24"/>
        </w:rPr>
      </w:pPr>
      <w:r>
        <w:rPr>
          <w:rFonts w:ascii="Times New Roman" w:hAnsi="Times New Roman" w:cs="Times New Roman"/>
          <w:sz w:val="24"/>
          <w:szCs w:val="24"/>
        </w:rPr>
        <w:t>School health might encompass school health policies, health education programs, health services such as psychological and mental health and safe environment (</w:t>
      </w:r>
      <w:proofErr w:type="spellStart"/>
      <w:r>
        <w:rPr>
          <w:rFonts w:ascii="Times New Roman" w:hAnsi="Times New Roman" w:cs="Times New Roman"/>
          <w:sz w:val="24"/>
          <w:szCs w:val="24"/>
        </w:rPr>
        <w:t>Tomokawa</w:t>
      </w:r>
      <w:proofErr w:type="spellEnd"/>
      <w:r>
        <w:rPr>
          <w:rFonts w:ascii="Times New Roman" w:hAnsi="Times New Roman" w:cs="Times New Roman"/>
          <w:sz w:val="24"/>
          <w:szCs w:val="24"/>
        </w:rPr>
        <w:t xml:space="preserve"> et al., 2018). </w:t>
      </w:r>
      <w:proofErr w:type="spellStart"/>
      <w:r w:rsidR="00597600">
        <w:rPr>
          <w:rFonts w:ascii="Times New Roman" w:hAnsi="Times New Roman" w:cs="Times New Roman"/>
          <w:sz w:val="24"/>
          <w:szCs w:val="24"/>
        </w:rPr>
        <w:t>Stolp</w:t>
      </w:r>
      <w:proofErr w:type="spellEnd"/>
      <w:r w:rsidR="00B84B57">
        <w:rPr>
          <w:rFonts w:ascii="Times New Roman" w:hAnsi="Times New Roman" w:cs="Times New Roman"/>
          <w:sz w:val="24"/>
          <w:szCs w:val="24"/>
        </w:rPr>
        <w:t xml:space="preserve"> et al.</w:t>
      </w:r>
      <w:r w:rsidR="00597600">
        <w:rPr>
          <w:rFonts w:ascii="Times New Roman" w:hAnsi="Times New Roman" w:cs="Times New Roman"/>
          <w:sz w:val="24"/>
          <w:szCs w:val="24"/>
        </w:rPr>
        <w:t xml:space="preserve"> (2015) argue that school health develops healthy schools helping students to avoid chronic diseases</w:t>
      </w:r>
      <w:r w:rsidR="000A1263">
        <w:rPr>
          <w:rFonts w:ascii="Times New Roman" w:hAnsi="Times New Roman" w:cs="Times New Roman"/>
          <w:sz w:val="24"/>
          <w:szCs w:val="24"/>
        </w:rPr>
        <w:t xml:space="preserve"> and study in a friendly school environment</w:t>
      </w:r>
      <w:r w:rsidR="00597600">
        <w:rPr>
          <w:rFonts w:ascii="Times New Roman" w:hAnsi="Times New Roman" w:cs="Times New Roman"/>
          <w:sz w:val="24"/>
          <w:szCs w:val="24"/>
        </w:rPr>
        <w:t xml:space="preserve">. </w:t>
      </w:r>
      <w:r w:rsidR="00A03F24">
        <w:rPr>
          <w:rFonts w:ascii="Times New Roman" w:hAnsi="Times New Roman" w:cs="Times New Roman"/>
          <w:sz w:val="24"/>
          <w:szCs w:val="24"/>
        </w:rPr>
        <w:t>At secondary education level, school health emphasizes mental health and wellness, physical health, and healthy food and nutrition that can be stated in the policy and strategic plan (</w:t>
      </w:r>
      <w:r w:rsidR="00736C83" w:rsidRPr="0084192B">
        <w:rPr>
          <w:rFonts w:ascii="Times New Roman" w:hAnsi="Times New Roman" w:cs="Times New Roman"/>
          <w:color w:val="222222"/>
          <w:sz w:val="24"/>
          <w:szCs w:val="24"/>
          <w:shd w:val="clear" w:color="auto" w:fill="FFFFFF"/>
        </w:rPr>
        <w:t>Kelley &amp; Silva-Padrón,</w:t>
      </w:r>
      <w:r w:rsidR="00736C83">
        <w:rPr>
          <w:rFonts w:ascii="Times New Roman" w:hAnsi="Times New Roman" w:cs="Times New Roman"/>
          <w:color w:val="222222"/>
          <w:sz w:val="24"/>
          <w:szCs w:val="24"/>
          <w:shd w:val="clear" w:color="auto" w:fill="FFFFFF"/>
        </w:rPr>
        <w:t xml:space="preserve"> </w:t>
      </w:r>
      <w:r w:rsidR="00736C83" w:rsidRPr="0084192B">
        <w:rPr>
          <w:rFonts w:ascii="Times New Roman" w:hAnsi="Times New Roman" w:cs="Times New Roman"/>
          <w:color w:val="222222"/>
          <w:sz w:val="24"/>
          <w:szCs w:val="24"/>
          <w:shd w:val="clear" w:color="auto" w:fill="FFFFFF"/>
        </w:rPr>
        <w:t>2023</w:t>
      </w:r>
      <w:r w:rsidR="00A03F24">
        <w:rPr>
          <w:rFonts w:ascii="Times New Roman" w:hAnsi="Times New Roman" w:cs="Times New Roman"/>
          <w:sz w:val="24"/>
          <w:szCs w:val="24"/>
        </w:rPr>
        <w:t>).</w:t>
      </w:r>
      <w:r w:rsidR="00736C83">
        <w:rPr>
          <w:rFonts w:ascii="Times New Roman" w:hAnsi="Times New Roman" w:cs="Times New Roman"/>
          <w:sz w:val="24"/>
          <w:szCs w:val="24"/>
        </w:rPr>
        <w:t xml:space="preserve"> </w:t>
      </w:r>
    </w:p>
    <w:p w14:paraId="0529EBBE" w14:textId="673546F7" w:rsidR="005B66FD" w:rsidRPr="005B66FD" w:rsidRDefault="005B66FD">
      <w:pPr>
        <w:rPr>
          <w:rFonts w:ascii="Times New Roman" w:hAnsi="Times New Roman" w:cs="Times New Roman"/>
          <w:b/>
          <w:bCs/>
          <w:sz w:val="24"/>
          <w:szCs w:val="24"/>
        </w:rPr>
      </w:pPr>
      <w:r w:rsidRPr="005B66FD">
        <w:rPr>
          <w:rFonts w:ascii="Times New Roman" w:hAnsi="Times New Roman" w:cs="Times New Roman"/>
          <w:b/>
          <w:bCs/>
          <w:sz w:val="24"/>
          <w:szCs w:val="24"/>
        </w:rPr>
        <w:t>Students’ Learning Outcomes</w:t>
      </w:r>
      <w:r w:rsidR="00D25F07">
        <w:rPr>
          <w:rFonts w:ascii="Times New Roman" w:hAnsi="Times New Roman" w:cs="Times New Roman"/>
          <w:b/>
          <w:bCs/>
          <w:sz w:val="24"/>
          <w:szCs w:val="24"/>
        </w:rPr>
        <w:t xml:space="preserve"> </w:t>
      </w:r>
    </w:p>
    <w:p w14:paraId="708520DE" w14:textId="6F1E55E6" w:rsidR="005B66FD" w:rsidRDefault="007A011C" w:rsidP="00D25F07">
      <w:pPr>
        <w:spacing w:line="360" w:lineRule="auto"/>
        <w:jc w:val="both"/>
        <w:rPr>
          <w:rFonts w:ascii="Times New Roman" w:hAnsi="Times New Roman" w:cs="Times New Roman"/>
          <w:sz w:val="24"/>
          <w:szCs w:val="24"/>
        </w:rPr>
      </w:pPr>
      <w:r>
        <w:rPr>
          <w:rFonts w:ascii="Times New Roman" w:hAnsi="Times New Roman" w:cs="Times New Roman"/>
          <w:sz w:val="24"/>
          <w:szCs w:val="24"/>
        </w:rPr>
        <w:t>Learning outcomes are the measures resulted from instructional quality delivered by teachers (</w:t>
      </w:r>
      <w:r w:rsidR="001F4CF2" w:rsidRPr="001F4CF2">
        <w:rPr>
          <w:rFonts w:ascii="Times New Roman" w:hAnsi="Times New Roman" w:cs="Times New Roman"/>
          <w:color w:val="222222"/>
          <w:sz w:val="24"/>
          <w:szCs w:val="24"/>
          <w:shd w:val="clear" w:color="auto" w:fill="FFFFFF"/>
        </w:rPr>
        <w:t>Lin</w:t>
      </w:r>
      <w:r w:rsidR="00A84CC8">
        <w:rPr>
          <w:rFonts w:ascii="Times New Roman" w:hAnsi="Times New Roman" w:cs="Times New Roman"/>
          <w:color w:val="222222"/>
          <w:sz w:val="24"/>
          <w:szCs w:val="24"/>
          <w:shd w:val="clear" w:color="auto" w:fill="FFFFFF"/>
        </w:rPr>
        <w:t xml:space="preserve"> et al.</w:t>
      </w:r>
      <w:r w:rsidR="001F4CF2" w:rsidRPr="001F4CF2">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w:t>
      </w:r>
      <w:r w:rsidR="004845A4">
        <w:rPr>
          <w:rFonts w:ascii="Times New Roman" w:hAnsi="Times New Roman" w:cs="Times New Roman"/>
          <w:sz w:val="24"/>
          <w:szCs w:val="24"/>
        </w:rPr>
        <w:t xml:space="preserve"> </w:t>
      </w:r>
      <w:r w:rsidR="00D25F07">
        <w:rPr>
          <w:rFonts w:ascii="Times New Roman" w:hAnsi="Times New Roman" w:cs="Times New Roman"/>
          <w:sz w:val="24"/>
          <w:szCs w:val="24"/>
        </w:rPr>
        <w:t>The learning outcome comprises grade point average, student engagement rates and achievement test scores (Forrest et al., 2013).</w:t>
      </w:r>
      <w:r w:rsidR="00302A57">
        <w:rPr>
          <w:rFonts w:ascii="Times New Roman" w:hAnsi="Times New Roman" w:cs="Times New Roman"/>
          <w:sz w:val="24"/>
          <w:szCs w:val="24"/>
        </w:rPr>
        <w:t xml:space="preserve"> Learning outcomes might segregate three domains consisting of affective, cognitive and behavioral which are measured by practical actions, observation, tests, and self</w:t>
      </w:r>
      <w:r w:rsidR="00C817E2">
        <w:rPr>
          <w:rFonts w:ascii="Times New Roman" w:hAnsi="Times New Roman" w:cs="Times New Roman"/>
          <w:sz w:val="24"/>
          <w:szCs w:val="24"/>
        </w:rPr>
        <w:t>-</w:t>
      </w:r>
      <w:r w:rsidR="00302A57">
        <w:rPr>
          <w:rFonts w:ascii="Times New Roman" w:hAnsi="Times New Roman" w:cs="Times New Roman"/>
          <w:sz w:val="24"/>
          <w:szCs w:val="24"/>
        </w:rPr>
        <w:t>reflection (</w:t>
      </w:r>
      <w:r w:rsidR="00302A57" w:rsidRPr="00302A57">
        <w:rPr>
          <w:rFonts w:ascii="Times New Roman" w:hAnsi="Times New Roman" w:cs="Times New Roman"/>
          <w:color w:val="222222"/>
          <w:sz w:val="24"/>
          <w:szCs w:val="24"/>
          <w:shd w:val="clear" w:color="auto" w:fill="FFFFFF"/>
        </w:rPr>
        <w:t>Guo</w:t>
      </w:r>
      <w:r w:rsidR="00351BEE">
        <w:rPr>
          <w:rFonts w:ascii="Times New Roman" w:hAnsi="Times New Roman" w:cs="Times New Roman"/>
          <w:color w:val="222222"/>
          <w:sz w:val="24"/>
          <w:szCs w:val="24"/>
          <w:shd w:val="clear" w:color="auto" w:fill="FFFFFF"/>
        </w:rPr>
        <w:t xml:space="preserve"> et al.</w:t>
      </w:r>
      <w:r w:rsidR="00302A57" w:rsidRPr="00302A57">
        <w:rPr>
          <w:rFonts w:ascii="Times New Roman" w:hAnsi="Times New Roman" w:cs="Times New Roman"/>
          <w:color w:val="222222"/>
          <w:sz w:val="24"/>
          <w:szCs w:val="24"/>
          <w:shd w:val="clear" w:color="auto" w:fill="FFFFFF"/>
        </w:rPr>
        <w:t>, 2020</w:t>
      </w:r>
      <w:r w:rsidR="00302A57">
        <w:rPr>
          <w:rFonts w:ascii="Times New Roman" w:hAnsi="Times New Roman" w:cs="Times New Roman"/>
          <w:sz w:val="24"/>
          <w:szCs w:val="24"/>
        </w:rPr>
        <w:t>).</w:t>
      </w:r>
      <w:r w:rsidR="000F32F7">
        <w:rPr>
          <w:rFonts w:ascii="Times New Roman" w:hAnsi="Times New Roman" w:cs="Times New Roman"/>
          <w:sz w:val="24"/>
          <w:szCs w:val="24"/>
        </w:rPr>
        <w:t xml:space="preserve"> </w:t>
      </w:r>
      <w:r w:rsidR="00FE3B33">
        <w:rPr>
          <w:rFonts w:ascii="Times New Roman" w:hAnsi="Times New Roman" w:cs="Times New Roman"/>
          <w:sz w:val="24"/>
          <w:szCs w:val="24"/>
        </w:rPr>
        <w:t xml:space="preserve">The level of knowledge measured can be targeted </w:t>
      </w:r>
      <w:r w:rsidR="00D15FF1">
        <w:rPr>
          <w:rFonts w:ascii="Times New Roman" w:hAnsi="Times New Roman" w:cs="Times New Roman"/>
          <w:sz w:val="24"/>
          <w:szCs w:val="24"/>
        </w:rPr>
        <w:t xml:space="preserve">in </w:t>
      </w:r>
      <w:r w:rsidR="00780741">
        <w:rPr>
          <w:rFonts w:ascii="Times New Roman" w:hAnsi="Times New Roman" w:cs="Times New Roman"/>
          <w:sz w:val="24"/>
          <w:szCs w:val="24"/>
        </w:rPr>
        <w:t>transforming</w:t>
      </w:r>
      <w:r w:rsidR="00D15FF1">
        <w:rPr>
          <w:rFonts w:ascii="Times New Roman" w:hAnsi="Times New Roman" w:cs="Times New Roman"/>
          <w:sz w:val="24"/>
          <w:szCs w:val="24"/>
        </w:rPr>
        <w:t xml:space="preserve"> information int</w:t>
      </w:r>
      <w:r w:rsidR="004F1881">
        <w:rPr>
          <w:rFonts w:ascii="Times New Roman" w:hAnsi="Times New Roman" w:cs="Times New Roman"/>
          <w:sz w:val="24"/>
          <w:szCs w:val="24"/>
        </w:rPr>
        <w:t>o</w:t>
      </w:r>
      <w:r w:rsidR="00D15FF1">
        <w:rPr>
          <w:rFonts w:ascii="Times New Roman" w:hAnsi="Times New Roman" w:cs="Times New Roman"/>
          <w:sz w:val="24"/>
          <w:szCs w:val="24"/>
        </w:rPr>
        <w:t xml:space="preserve"> the concept network </w:t>
      </w:r>
      <w:r w:rsidR="0058167D">
        <w:rPr>
          <w:rFonts w:ascii="Times New Roman" w:hAnsi="Times New Roman" w:cs="Times New Roman"/>
          <w:sz w:val="24"/>
          <w:szCs w:val="24"/>
        </w:rPr>
        <w:t>reflecting learning ou</w:t>
      </w:r>
      <w:r w:rsidR="004007DD">
        <w:rPr>
          <w:rFonts w:ascii="Times New Roman" w:hAnsi="Times New Roman" w:cs="Times New Roman"/>
          <w:sz w:val="24"/>
          <w:szCs w:val="24"/>
        </w:rPr>
        <w:t>t</w:t>
      </w:r>
      <w:r w:rsidR="0058167D">
        <w:rPr>
          <w:rFonts w:ascii="Times New Roman" w:hAnsi="Times New Roman" w:cs="Times New Roman"/>
          <w:sz w:val="24"/>
          <w:szCs w:val="24"/>
        </w:rPr>
        <w:t xml:space="preserve">comes </w:t>
      </w:r>
      <w:r w:rsidR="00D15FF1">
        <w:rPr>
          <w:rFonts w:ascii="Times New Roman" w:hAnsi="Times New Roman" w:cs="Times New Roman"/>
          <w:sz w:val="24"/>
          <w:szCs w:val="24"/>
        </w:rPr>
        <w:t>(</w:t>
      </w:r>
      <w:r w:rsidR="0058167D">
        <w:rPr>
          <w:rFonts w:ascii="Times New Roman" w:hAnsi="Times New Roman" w:cs="Times New Roman"/>
          <w:sz w:val="24"/>
          <w:szCs w:val="24"/>
        </w:rPr>
        <w:t>De Jong &amp; Ferguson-</w:t>
      </w:r>
      <w:proofErr w:type="spellStart"/>
      <w:r w:rsidR="0058167D">
        <w:rPr>
          <w:rFonts w:ascii="Times New Roman" w:hAnsi="Times New Roman" w:cs="Times New Roman"/>
          <w:sz w:val="24"/>
          <w:szCs w:val="24"/>
        </w:rPr>
        <w:t>Hessler</w:t>
      </w:r>
      <w:proofErr w:type="spellEnd"/>
      <w:r w:rsidR="0058167D">
        <w:rPr>
          <w:rFonts w:ascii="Times New Roman" w:hAnsi="Times New Roman" w:cs="Times New Roman"/>
          <w:sz w:val="24"/>
          <w:szCs w:val="24"/>
        </w:rPr>
        <w:t>, 1996)</w:t>
      </w:r>
      <w:r w:rsidR="00D15FF1">
        <w:rPr>
          <w:rFonts w:ascii="Times New Roman" w:hAnsi="Times New Roman" w:cs="Times New Roman"/>
          <w:sz w:val="24"/>
          <w:szCs w:val="24"/>
        </w:rPr>
        <w:t xml:space="preserve">. </w:t>
      </w:r>
      <w:r w:rsidR="000F32F7">
        <w:rPr>
          <w:rFonts w:ascii="Times New Roman" w:hAnsi="Times New Roman" w:cs="Times New Roman"/>
          <w:sz w:val="24"/>
          <w:szCs w:val="24"/>
        </w:rPr>
        <w:t>A combination of skills, knowledge and attitudes that students will achieve as a result of successful engagement at the end of the academic years underlines learning outcomes (</w:t>
      </w:r>
      <w:r w:rsidR="006A0BBE">
        <w:rPr>
          <w:rFonts w:ascii="Times New Roman" w:hAnsi="Times New Roman" w:cs="Times New Roman"/>
          <w:sz w:val="24"/>
          <w:szCs w:val="24"/>
        </w:rPr>
        <w:t>Adam, 2006</w:t>
      </w:r>
      <w:r w:rsidR="000F32F7">
        <w:rPr>
          <w:rFonts w:ascii="Times New Roman" w:hAnsi="Times New Roman" w:cs="Times New Roman"/>
          <w:sz w:val="24"/>
          <w:szCs w:val="24"/>
        </w:rPr>
        <w:t xml:space="preserve">). </w:t>
      </w:r>
      <w:r w:rsidR="000B2D81">
        <w:rPr>
          <w:rFonts w:ascii="Times New Roman" w:hAnsi="Times New Roman" w:cs="Times New Roman"/>
          <w:sz w:val="24"/>
          <w:szCs w:val="24"/>
        </w:rPr>
        <w:t xml:space="preserve">Students’ learning outcomes are </w:t>
      </w:r>
      <w:r w:rsidR="000B2D81">
        <w:rPr>
          <w:rFonts w:ascii="Times New Roman" w:hAnsi="Times New Roman" w:cs="Times New Roman"/>
          <w:sz w:val="24"/>
          <w:szCs w:val="24"/>
        </w:rPr>
        <w:lastRenderedPageBreak/>
        <w:t>the capability of students to learn something new in their areas of interests and studies (</w:t>
      </w:r>
      <w:r w:rsidR="005A0FB0" w:rsidRPr="00623094">
        <w:rPr>
          <w:rFonts w:ascii="Times New Roman" w:hAnsi="Times New Roman" w:cs="Times New Roman"/>
          <w:color w:val="222222"/>
          <w:sz w:val="24"/>
          <w:szCs w:val="24"/>
          <w:shd w:val="clear" w:color="auto" w:fill="FFFFFF"/>
        </w:rPr>
        <w:t>Ayodele</w:t>
      </w:r>
      <w:r w:rsidR="005A0FB0">
        <w:rPr>
          <w:rFonts w:ascii="Times New Roman" w:hAnsi="Times New Roman" w:cs="Times New Roman"/>
          <w:color w:val="222222"/>
          <w:sz w:val="24"/>
          <w:szCs w:val="24"/>
          <w:shd w:val="clear" w:color="auto" w:fill="FFFFFF"/>
        </w:rPr>
        <w:t xml:space="preserve"> &amp;</w:t>
      </w:r>
      <w:r w:rsidR="005A0FB0" w:rsidRPr="00623094">
        <w:rPr>
          <w:rFonts w:ascii="Times New Roman" w:hAnsi="Times New Roman" w:cs="Times New Roman"/>
          <w:color w:val="222222"/>
          <w:sz w:val="24"/>
          <w:szCs w:val="24"/>
          <w:shd w:val="clear" w:color="auto" w:fill="FFFFFF"/>
        </w:rPr>
        <w:t xml:space="preserve"> Nasiru</w:t>
      </w:r>
      <w:r w:rsidR="005A0FB0">
        <w:rPr>
          <w:rFonts w:ascii="Times New Roman" w:hAnsi="Times New Roman" w:cs="Times New Roman"/>
          <w:color w:val="222222"/>
          <w:sz w:val="24"/>
          <w:szCs w:val="24"/>
          <w:shd w:val="clear" w:color="auto" w:fill="FFFFFF"/>
        </w:rPr>
        <w:t xml:space="preserve">, </w:t>
      </w:r>
      <w:r w:rsidR="005A0FB0" w:rsidRPr="00623094">
        <w:rPr>
          <w:rFonts w:ascii="Times New Roman" w:hAnsi="Times New Roman" w:cs="Times New Roman"/>
          <w:color w:val="222222"/>
          <w:sz w:val="24"/>
          <w:szCs w:val="24"/>
          <w:shd w:val="clear" w:color="auto" w:fill="FFFFFF"/>
        </w:rPr>
        <w:t>2021</w:t>
      </w:r>
      <w:r w:rsidR="000B2D81">
        <w:rPr>
          <w:rFonts w:ascii="Times New Roman" w:hAnsi="Times New Roman" w:cs="Times New Roman"/>
          <w:sz w:val="24"/>
          <w:szCs w:val="24"/>
        </w:rPr>
        <w:t xml:space="preserve">). </w:t>
      </w:r>
      <w:r w:rsidR="005A0FB0">
        <w:rPr>
          <w:rFonts w:ascii="Times New Roman" w:hAnsi="Times New Roman" w:cs="Times New Roman"/>
          <w:sz w:val="24"/>
          <w:szCs w:val="24"/>
        </w:rPr>
        <w:t xml:space="preserve"> </w:t>
      </w:r>
      <w:r w:rsidR="00CE53C9">
        <w:rPr>
          <w:rFonts w:ascii="Times New Roman" w:hAnsi="Times New Roman" w:cs="Times New Roman"/>
          <w:sz w:val="24"/>
          <w:szCs w:val="24"/>
        </w:rPr>
        <w:t>Learning outcomes can be the results of examination, test and any forms of assessment to measure students’ learning (Burrow</w:t>
      </w:r>
      <w:r w:rsidR="008275D8">
        <w:rPr>
          <w:rFonts w:ascii="Times New Roman" w:hAnsi="Times New Roman" w:cs="Times New Roman"/>
          <w:sz w:val="24"/>
          <w:szCs w:val="24"/>
        </w:rPr>
        <w:t xml:space="preserve"> et al.</w:t>
      </w:r>
      <w:r w:rsidR="00CE53C9">
        <w:rPr>
          <w:rFonts w:ascii="Times New Roman" w:hAnsi="Times New Roman" w:cs="Times New Roman"/>
          <w:sz w:val="24"/>
          <w:szCs w:val="24"/>
        </w:rPr>
        <w:t xml:space="preserve">, 2017). </w:t>
      </w:r>
      <w:r w:rsidR="00FB6919">
        <w:rPr>
          <w:rFonts w:ascii="Times New Roman" w:hAnsi="Times New Roman" w:cs="Times New Roman"/>
          <w:sz w:val="24"/>
          <w:szCs w:val="24"/>
        </w:rPr>
        <w:t>The outcomes can be achieved accordingly to their levels of intelligence and abilities in different passion of learning methods (</w:t>
      </w:r>
      <w:proofErr w:type="spellStart"/>
      <w:r w:rsidR="007D7AFA">
        <w:rPr>
          <w:rFonts w:ascii="Times New Roman" w:hAnsi="Times New Roman" w:cs="Times New Roman"/>
          <w:sz w:val="24"/>
          <w:szCs w:val="24"/>
        </w:rPr>
        <w:t>Alonge</w:t>
      </w:r>
      <w:proofErr w:type="spellEnd"/>
      <w:r w:rsidR="007D7AFA">
        <w:rPr>
          <w:rFonts w:ascii="Times New Roman" w:hAnsi="Times New Roman" w:cs="Times New Roman"/>
          <w:sz w:val="24"/>
          <w:szCs w:val="24"/>
        </w:rPr>
        <w:t xml:space="preserve"> &amp; </w:t>
      </w:r>
      <w:proofErr w:type="spellStart"/>
      <w:r w:rsidR="007D7AFA">
        <w:rPr>
          <w:rFonts w:ascii="Times New Roman" w:hAnsi="Times New Roman" w:cs="Times New Roman"/>
          <w:sz w:val="24"/>
          <w:szCs w:val="24"/>
        </w:rPr>
        <w:t>Okunade</w:t>
      </w:r>
      <w:proofErr w:type="spellEnd"/>
      <w:r w:rsidR="007D7AFA">
        <w:rPr>
          <w:rFonts w:ascii="Times New Roman" w:hAnsi="Times New Roman" w:cs="Times New Roman"/>
          <w:sz w:val="24"/>
          <w:szCs w:val="24"/>
        </w:rPr>
        <w:t xml:space="preserve">, 2013; </w:t>
      </w:r>
      <w:r w:rsidR="007D7AFA" w:rsidRPr="00623094">
        <w:rPr>
          <w:rFonts w:ascii="Times New Roman" w:hAnsi="Times New Roman" w:cs="Times New Roman"/>
          <w:color w:val="222222"/>
          <w:sz w:val="24"/>
          <w:szCs w:val="24"/>
          <w:shd w:val="clear" w:color="auto" w:fill="FFFFFF"/>
        </w:rPr>
        <w:t>Ayodele</w:t>
      </w:r>
      <w:r w:rsidR="007D7AFA">
        <w:rPr>
          <w:rFonts w:ascii="Times New Roman" w:hAnsi="Times New Roman" w:cs="Times New Roman"/>
          <w:color w:val="222222"/>
          <w:sz w:val="24"/>
          <w:szCs w:val="24"/>
          <w:shd w:val="clear" w:color="auto" w:fill="FFFFFF"/>
        </w:rPr>
        <w:t xml:space="preserve"> &amp;</w:t>
      </w:r>
      <w:r w:rsidR="007D7AFA" w:rsidRPr="00623094">
        <w:rPr>
          <w:rFonts w:ascii="Times New Roman" w:hAnsi="Times New Roman" w:cs="Times New Roman"/>
          <w:color w:val="222222"/>
          <w:sz w:val="24"/>
          <w:szCs w:val="24"/>
          <w:shd w:val="clear" w:color="auto" w:fill="FFFFFF"/>
        </w:rPr>
        <w:t xml:space="preserve"> Nasiru</w:t>
      </w:r>
      <w:r w:rsidR="007D7AFA">
        <w:rPr>
          <w:rFonts w:ascii="Times New Roman" w:hAnsi="Times New Roman" w:cs="Times New Roman"/>
          <w:color w:val="222222"/>
          <w:sz w:val="24"/>
          <w:szCs w:val="24"/>
          <w:shd w:val="clear" w:color="auto" w:fill="FFFFFF"/>
        </w:rPr>
        <w:t xml:space="preserve">, </w:t>
      </w:r>
      <w:r w:rsidR="007D7AFA" w:rsidRPr="00623094">
        <w:rPr>
          <w:rFonts w:ascii="Times New Roman" w:hAnsi="Times New Roman" w:cs="Times New Roman"/>
          <w:color w:val="222222"/>
          <w:sz w:val="24"/>
          <w:szCs w:val="24"/>
          <w:shd w:val="clear" w:color="auto" w:fill="FFFFFF"/>
        </w:rPr>
        <w:t>2021</w:t>
      </w:r>
      <w:r w:rsidR="00FB6919">
        <w:rPr>
          <w:rFonts w:ascii="Times New Roman" w:hAnsi="Times New Roman" w:cs="Times New Roman"/>
          <w:sz w:val="24"/>
          <w:szCs w:val="24"/>
        </w:rPr>
        <w:t>).</w:t>
      </w:r>
      <w:r w:rsidR="007D7AFA">
        <w:rPr>
          <w:rFonts w:ascii="Times New Roman" w:hAnsi="Times New Roman" w:cs="Times New Roman"/>
          <w:sz w:val="24"/>
          <w:szCs w:val="24"/>
        </w:rPr>
        <w:t xml:space="preserve"> </w:t>
      </w:r>
      <w:r w:rsidR="00026CAC">
        <w:rPr>
          <w:rFonts w:ascii="Times New Roman" w:hAnsi="Times New Roman" w:cs="Times New Roman"/>
          <w:sz w:val="24"/>
          <w:szCs w:val="24"/>
        </w:rPr>
        <w:t xml:space="preserve">Thus, the learning outcomes can be measured in different ways of assessments in terms of graduation and employment rates. </w:t>
      </w:r>
    </w:p>
    <w:p w14:paraId="11820BD2" w14:textId="551186E5" w:rsidR="00026CAC" w:rsidRDefault="00026CAC" w:rsidP="00D25F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learning outcomes </w:t>
      </w:r>
      <w:r w:rsidR="0071315C">
        <w:rPr>
          <w:rFonts w:ascii="Times New Roman" w:hAnsi="Times New Roman" w:cs="Times New Roman"/>
          <w:sz w:val="24"/>
          <w:szCs w:val="24"/>
        </w:rPr>
        <w:t xml:space="preserve">encompass different components with different assessment models employing a variety of research approaches. </w:t>
      </w:r>
      <w:r w:rsidR="00D90EA4">
        <w:rPr>
          <w:rFonts w:ascii="Times New Roman" w:hAnsi="Times New Roman" w:cs="Times New Roman"/>
          <w:sz w:val="24"/>
          <w:szCs w:val="24"/>
        </w:rPr>
        <w:t xml:space="preserve">The research setting and time should be paid attention </w:t>
      </w:r>
      <w:r w:rsidR="00946297">
        <w:rPr>
          <w:rFonts w:ascii="Times New Roman" w:hAnsi="Times New Roman" w:cs="Times New Roman"/>
          <w:sz w:val="24"/>
          <w:szCs w:val="24"/>
        </w:rPr>
        <w:t xml:space="preserve">because them might come out with different findings. </w:t>
      </w:r>
      <w:r w:rsidR="0071315C">
        <w:rPr>
          <w:rFonts w:ascii="Times New Roman" w:hAnsi="Times New Roman" w:cs="Times New Roman"/>
          <w:sz w:val="24"/>
          <w:szCs w:val="24"/>
        </w:rPr>
        <w:t xml:space="preserve">Therefore, the study is unique in research methods and time. </w:t>
      </w:r>
    </w:p>
    <w:p w14:paraId="0A2923A5" w14:textId="7CDB3AFD" w:rsidR="005B66FD" w:rsidRPr="005B66FD" w:rsidRDefault="005B66FD">
      <w:pPr>
        <w:rPr>
          <w:rFonts w:ascii="Times New Roman" w:hAnsi="Times New Roman" w:cs="Times New Roman"/>
          <w:b/>
          <w:bCs/>
          <w:sz w:val="24"/>
          <w:szCs w:val="24"/>
        </w:rPr>
      </w:pPr>
      <w:r w:rsidRPr="005B66FD">
        <w:rPr>
          <w:rFonts w:ascii="Times New Roman" w:hAnsi="Times New Roman" w:cs="Times New Roman"/>
          <w:b/>
          <w:bCs/>
          <w:sz w:val="24"/>
          <w:szCs w:val="24"/>
        </w:rPr>
        <w:t>Relationship between School Health and Students’ Learning Outcomes</w:t>
      </w:r>
    </w:p>
    <w:p w14:paraId="0172FE11" w14:textId="09F1C433" w:rsidR="005B66FD" w:rsidRDefault="00D8652A" w:rsidP="005401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 health relatively affects students’ learning outcomes in some ways. </w:t>
      </w:r>
      <w:r w:rsidR="008D1C3A">
        <w:rPr>
          <w:rFonts w:ascii="Times New Roman" w:hAnsi="Times New Roman" w:cs="Times New Roman"/>
          <w:sz w:val="24"/>
          <w:szCs w:val="24"/>
        </w:rPr>
        <w:t xml:space="preserve">School health like feeding programs reflects learning outcomes like encouraging regular attendance </w:t>
      </w:r>
      <w:r w:rsidR="003D7E15">
        <w:rPr>
          <w:rFonts w:ascii="Times New Roman" w:hAnsi="Times New Roman" w:cs="Times New Roman"/>
          <w:sz w:val="24"/>
          <w:szCs w:val="24"/>
        </w:rPr>
        <w:t xml:space="preserve">and reducing drop-out rates </w:t>
      </w:r>
      <w:r w:rsidR="008D1C3A">
        <w:rPr>
          <w:rFonts w:ascii="Times New Roman" w:hAnsi="Times New Roman" w:cs="Times New Roman"/>
          <w:sz w:val="24"/>
          <w:szCs w:val="24"/>
        </w:rPr>
        <w:t>(McEwan, 2012).</w:t>
      </w:r>
      <w:r w:rsidR="00FD4B41">
        <w:rPr>
          <w:rFonts w:ascii="Times New Roman" w:hAnsi="Times New Roman" w:cs="Times New Roman"/>
          <w:sz w:val="24"/>
          <w:szCs w:val="24"/>
        </w:rPr>
        <w:t xml:space="preserve"> School health like students’ well-being reflects a positive impact on learning outcomes resulting in economic consequences in the society (</w:t>
      </w:r>
      <w:proofErr w:type="spellStart"/>
      <w:r w:rsidR="00FD4B41" w:rsidRPr="00FD4B41">
        <w:rPr>
          <w:rFonts w:ascii="Times New Roman" w:hAnsi="Times New Roman" w:cs="Times New Roman"/>
          <w:color w:val="222222"/>
          <w:sz w:val="24"/>
          <w:szCs w:val="24"/>
          <w:shd w:val="clear" w:color="auto" w:fill="FFFFFF"/>
        </w:rPr>
        <w:t>Toftum</w:t>
      </w:r>
      <w:proofErr w:type="spellEnd"/>
      <w:r w:rsidR="00E03A20">
        <w:rPr>
          <w:rFonts w:ascii="Times New Roman" w:hAnsi="Times New Roman" w:cs="Times New Roman"/>
          <w:color w:val="222222"/>
          <w:sz w:val="24"/>
          <w:szCs w:val="24"/>
          <w:shd w:val="clear" w:color="auto" w:fill="FFFFFF"/>
        </w:rPr>
        <w:t xml:space="preserve"> et al.,</w:t>
      </w:r>
      <w:r w:rsidR="00FD4B41" w:rsidRPr="00FD4B41">
        <w:rPr>
          <w:rFonts w:ascii="Times New Roman" w:hAnsi="Times New Roman" w:cs="Times New Roman"/>
          <w:color w:val="222222"/>
          <w:sz w:val="24"/>
          <w:szCs w:val="24"/>
          <w:shd w:val="clear" w:color="auto" w:fill="FFFFFF"/>
        </w:rPr>
        <w:t xml:space="preserve"> 2015</w:t>
      </w:r>
      <w:r w:rsidR="00567E93">
        <w:rPr>
          <w:rFonts w:ascii="Times New Roman" w:hAnsi="Times New Roman" w:cs="Times New Roman"/>
          <w:color w:val="222222"/>
          <w:sz w:val="24"/>
          <w:szCs w:val="24"/>
          <w:shd w:val="clear" w:color="auto" w:fill="FFFFFF"/>
        </w:rPr>
        <w:t xml:space="preserve">; Mandell et al., 2013; </w:t>
      </w:r>
      <w:proofErr w:type="spellStart"/>
      <w:r w:rsidR="00596141" w:rsidRPr="00596141">
        <w:rPr>
          <w:rFonts w:ascii="Times New Roman" w:hAnsi="Times New Roman" w:cs="Times New Roman"/>
          <w:color w:val="222222"/>
          <w:sz w:val="24"/>
          <w:szCs w:val="24"/>
          <w:shd w:val="clear" w:color="auto" w:fill="FFFFFF"/>
        </w:rPr>
        <w:t>Wargocki</w:t>
      </w:r>
      <w:proofErr w:type="spellEnd"/>
      <w:r w:rsidR="00835D72">
        <w:rPr>
          <w:rFonts w:ascii="Times New Roman" w:hAnsi="Times New Roman" w:cs="Times New Roman"/>
          <w:color w:val="222222"/>
          <w:sz w:val="24"/>
          <w:szCs w:val="24"/>
          <w:shd w:val="clear" w:color="auto" w:fill="FFFFFF"/>
        </w:rPr>
        <w:t xml:space="preserve"> et al.</w:t>
      </w:r>
      <w:r w:rsidR="00596141" w:rsidRPr="00596141">
        <w:rPr>
          <w:rFonts w:ascii="Times New Roman" w:hAnsi="Times New Roman" w:cs="Times New Roman"/>
          <w:color w:val="222222"/>
          <w:sz w:val="24"/>
          <w:szCs w:val="24"/>
          <w:shd w:val="clear" w:color="auto" w:fill="FFFFFF"/>
        </w:rPr>
        <w:t>, 2014</w:t>
      </w:r>
      <w:r w:rsidR="00FD4B41">
        <w:rPr>
          <w:rFonts w:ascii="Times New Roman" w:hAnsi="Times New Roman" w:cs="Times New Roman"/>
          <w:sz w:val="24"/>
          <w:szCs w:val="24"/>
        </w:rPr>
        <w:t>).</w:t>
      </w:r>
      <w:r w:rsidR="00D07E67">
        <w:rPr>
          <w:rFonts w:ascii="Times New Roman" w:hAnsi="Times New Roman" w:cs="Times New Roman"/>
          <w:sz w:val="24"/>
          <w:szCs w:val="24"/>
        </w:rPr>
        <w:t xml:space="preserve"> </w:t>
      </w:r>
      <w:r w:rsidR="00C273E4">
        <w:rPr>
          <w:rFonts w:ascii="Times New Roman" w:hAnsi="Times New Roman" w:cs="Times New Roman"/>
          <w:sz w:val="24"/>
          <w:szCs w:val="24"/>
        </w:rPr>
        <w:t>In other words, l</w:t>
      </w:r>
      <w:r w:rsidR="00D07E67">
        <w:rPr>
          <w:rFonts w:ascii="Times New Roman" w:hAnsi="Times New Roman" w:cs="Times New Roman"/>
          <w:sz w:val="24"/>
          <w:szCs w:val="24"/>
        </w:rPr>
        <w:t>earning outcomes are affected by school health consisting of learners’ characteristics</w:t>
      </w:r>
      <w:r w:rsidR="008A33FC">
        <w:rPr>
          <w:rFonts w:ascii="Times New Roman" w:hAnsi="Times New Roman" w:cs="Times New Roman"/>
          <w:sz w:val="24"/>
          <w:szCs w:val="24"/>
        </w:rPr>
        <w:t xml:space="preserve">, </w:t>
      </w:r>
      <w:r w:rsidR="00D07E67">
        <w:rPr>
          <w:rFonts w:ascii="Times New Roman" w:hAnsi="Times New Roman" w:cs="Times New Roman"/>
          <w:sz w:val="24"/>
          <w:szCs w:val="24"/>
        </w:rPr>
        <w:t xml:space="preserve">traits </w:t>
      </w:r>
      <w:r w:rsidR="008A33FC">
        <w:rPr>
          <w:rFonts w:ascii="Times New Roman" w:hAnsi="Times New Roman" w:cs="Times New Roman"/>
          <w:sz w:val="24"/>
          <w:szCs w:val="24"/>
        </w:rPr>
        <w:t xml:space="preserve">and health condition </w:t>
      </w:r>
      <w:r w:rsidR="00D07E67">
        <w:rPr>
          <w:rFonts w:ascii="Times New Roman" w:hAnsi="Times New Roman" w:cs="Times New Roman"/>
          <w:sz w:val="24"/>
          <w:szCs w:val="24"/>
        </w:rPr>
        <w:t>(</w:t>
      </w:r>
      <w:r w:rsidR="00C71B29">
        <w:rPr>
          <w:rFonts w:ascii="Times New Roman" w:hAnsi="Times New Roman" w:cs="Times New Roman"/>
          <w:sz w:val="24"/>
          <w:szCs w:val="24"/>
        </w:rPr>
        <w:t>Kristen, 2011; Lin et al., 2017</w:t>
      </w:r>
      <w:r w:rsidR="00D07E67">
        <w:rPr>
          <w:rFonts w:ascii="Times New Roman" w:hAnsi="Times New Roman" w:cs="Times New Roman"/>
          <w:sz w:val="24"/>
          <w:szCs w:val="24"/>
        </w:rPr>
        <w:t>).</w:t>
      </w:r>
      <w:r w:rsidR="00BD382E">
        <w:rPr>
          <w:rFonts w:ascii="Times New Roman" w:hAnsi="Times New Roman" w:cs="Times New Roman"/>
          <w:sz w:val="24"/>
          <w:szCs w:val="24"/>
        </w:rPr>
        <w:t xml:space="preserve"> </w:t>
      </w:r>
      <w:r w:rsidR="00C273E4">
        <w:rPr>
          <w:rFonts w:ascii="Times New Roman" w:hAnsi="Times New Roman" w:cs="Times New Roman"/>
          <w:sz w:val="24"/>
          <w:szCs w:val="24"/>
        </w:rPr>
        <w:t>School health consisting of healthy school habits, eating nutritious food and sanitation reflect</w:t>
      </w:r>
      <w:r w:rsidR="00AC10C6">
        <w:rPr>
          <w:rFonts w:ascii="Times New Roman" w:hAnsi="Times New Roman" w:cs="Times New Roman"/>
          <w:sz w:val="24"/>
          <w:szCs w:val="24"/>
        </w:rPr>
        <w:t>ing</w:t>
      </w:r>
      <w:r w:rsidR="00C273E4">
        <w:rPr>
          <w:rFonts w:ascii="Times New Roman" w:hAnsi="Times New Roman" w:cs="Times New Roman"/>
          <w:sz w:val="24"/>
          <w:szCs w:val="24"/>
        </w:rPr>
        <w:t xml:space="preserve"> learning outcomes (</w:t>
      </w:r>
      <w:proofErr w:type="spellStart"/>
      <w:r w:rsidR="00C273E4">
        <w:rPr>
          <w:rFonts w:ascii="Times New Roman" w:hAnsi="Times New Roman" w:cs="Times New Roman"/>
          <w:sz w:val="24"/>
          <w:szCs w:val="24"/>
        </w:rPr>
        <w:t>Afkar</w:t>
      </w:r>
      <w:proofErr w:type="spellEnd"/>
      <w:r w:rsidR="00C273E4">
        <w:rPr>
          <w:rFonts w:ascii="Times New Roman" w:hAnsi="Times New Roman" w:cs="Times New Roman"/>
          <w:sz w:val="24"/>
          <w:szCs w:val="24"/>
        </w:rPr>
        <w:t xml:space="preserve"> et al., 2023). </w:t>
      </w:r>
      <w:r w:rsidR="00AC10C6">
        <w:rPr>
          <w:rFonts w:ascii="Times New Roman" w:hAnsi="Times New Roman" w:cs="Times New Roman"/>
          <w:sz w:val="24"/>
          <w:szCs w:val="24"/>
        </w:rPr>
        <w:t>H</w:t>
      </w:r>
      <w:r w:rsidR="0095486D">
        <w:rPr>
          <w:rFonts w:ascii="Times New Roman" w:hAnsi="Times New Roman" w:cs="Times New Roman"/>
          <w:sz w:val="24"/>
          <w:szCs w:val="24"/>
        </w:rPr>
        <w:t>ealthy school policies enhance students’ well-being reflecting their positive outcomes (</w:t>
      </w:r>
      <w:proofErr w:type="spellStart"/>
      <w:r w:rsidR="00A85C3D">
        <w:rPr>
          <w:rFonts w:ascii="Times New Roman" w:hAnsi="Times New Roman" w:cs="Times New Roman"/>
          <w:sz w:val="24"/>
          <w:szCs w:val="24"/>
          <w:lang w:bidi="km-KH"/>
        </w:rPr>
        <w:t>Meroni</w:t>
      </w:r>
      <w:proofErr w:type="spellEnd"/>
      <w:r w:rsidR="00A85C3D">
        <w:rPr>
          <w:rFonts w:ascii="Times New Roman" w:hAnsi="Times New Roman" w:cs="Times New Roman"/>
          <w:sz w:val="24"/>
          <w:szCs w:val="24"/>
          <w:lang w:bidi="km-KH"/>
        </w:rPr>
        <w:t xml:space="preserve"> &amp; Velasco, 2023</w:t>
      </w:r>
      <w:r w:rsidR="0095486D">
        <w:rPr>
          <w:rFonts w:ascii="Times New Roman" w:hAnsi="Times New Roman" w:cs="Times New Roman"/>
          <w:sz w:val="24"/>
          <w:szCs w:val="24"/>
        </w:rPr>
        <w:t>).</w:t>
      </w:r>
      <w:r w:rsidR="00A85C3D">
        <w:rPr>
          <w:rFonts w:ascii="Times New Roman" w:hAnsi="Times New Roman" w:cs="Times New Roman"/>
          <w:sz w:val="24"/>
          <w:szCs w:val="24"/>
        </w:rPr>
        <w:t xml:space="preserve"> </w:t>
      </w:r>
      <w:r w:rsidR="00253D68">
        <w:rPr>
          <w:rFonts w:ascii="Times New Roman" w:hAnsi="Times New Roman" w:cs="Times New Roman"/>
          <w:sz w:val="24"/>
          <w:szCs w:val="24"/>
        </w:rPr>
        <w:t xml:space="preserve">Therefore, school health is one of the pushing factors influencing learning outcomes. </w:t>
      </w:r>
    </w:p>
    <w:p w14:paraId="30132CE6" w14:textId="2DD6FED1" w:rsidR="00284AA5" w:rsidRDefault="00284AA5" w:rsidP="005401E6">
      <w:pPr>
        <w:spacing w:line="36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szCs w:val="24"/>
        </w:rPr>
        <w:t>Kibriya</w:t>
      </w:r>
      <w:proofErr w:type="spellEnd"/>
      <w:r>
        <w:rPr>
          <w:rFonts w:ascii="Times New Roman" w:hAnsi="Times New Roman" w:cs="Times New Roman"/>
          <w:sz w:val="24"/>
          <w:szCs w:val="24"/>
        </w:rPr>
        <w:t xml:space="preserve"> and Jones (20</w:t>
      </w:r>
      <w:r w:rsidR="002543AF">
        <w:rPr>
          <w:rFonts w:ascii="Times New Roman" w:hAnsi="Times New Roman" w:cs="Times New Roman"/>
          <w:sz w:val="24"/>
          <w:szCs w:val="24"/>
        </w:rPr>
        <w:t>21</w:t>
      </w:r>
      <w:r>
        <w:rPr>
          <w:rFonts w:ascii="Times New Roman" w:hAnsi="Times New Roman" w:cs="Times New Roman"/>
          <w:sz w:val="24"/>
          <w:szCs w:val="24"/>
        </w:rPr>
        <w:t xml:space="preserve">) exploring the effect of school health and safety on learning outcomes for 2,125 students in Tanzania found that </w:t>
      </w:r>
      <w:r w:rsidR="0076348A">
        <w:rPr>
          <w:rFonts w:ascii="Times New Roman" w:hAnsi="Times New Roman" w:cs="Times New Roman"/>
          <w:sz w:val="24"/>
          <w:szCs w:val="24"/>
        </w:rPr>
        <w:t xml:space="preserve">school health is a predictor of students’ learning outcomes. </w:t>
      </w:r>
      <w:proofErr w:type="spellStart"/>
      <w:r w:rsidR="00BB220F">
        <w:rPr>
          <w:rFonts w:ascii="Times New Roman" w:hAnsi="Times New Roman" w:cs="Times New Roman"/>
          <w:sz w:val="24"/>
          <w:szCs w:val="24"/>
        </w:rPr>
        <w:t>Kase</w:t>
      </w:r>
      <w:proofErr w:type="spellEnd"/>
      <w:r w:rsidR="00BB220F">
        <w:rPr>
          <w:rFonts w:ascii="Times New Roman" w:hAnsi="Times New Roman" w:cs="Times New Roman"/>
          <w:sz w:val="24"/>
          <w:szCs w:val="24"/>
        </w:rPr>
        <w:t xml:space="preserve"> et al. (2017) employing a literature review of 36 primary research studies in the United States to identify the school health program associated with learning outcomes reve</w:t>
      </w:r>
      <w:r w:rsidR="00253D68">
        <w:rPr>
          <w:rFonts w:ascii="Times New Roman" w:hAnsi="Times New Roman" w:cs="Times New Roman"/>
          <w:sz w:val="24"/>
          <w:szCs w:val="24"/>
        </w:rPr>
        <w:t>a</w:t>
      </w:r>
      <w:r w:rsidR="00BB220F">
        <w:rPr>
          <w:rFonts w:ascii="Times New Roman" w:hAnsi="Times New Roman" w:cs="Times New Roman"/>
          <w:sz w:val="24"/>
          <w:szCs w:val="24"/>
        </w:rPr>
        <w:t xml:space="preserve">led that school health interventions shaped students’ learning outcomes. </w:t>
      </w:r>
      <w:r w:rsidR="00623094">
        <w:rPr>
          <w:rFonts w:ascii="Times New Roman" w:hAnsi="Times New Roman" w:cs="Times New Roman"/>
          <w:sz w:val="24"/>
          <w:szCs w:val="24"/>
        </w:rPr>
        <w:t xml:space="preserve">However, </w:t>
      </w:r>
      <w:r w:rsidR="00623094" w:rsidRPr="00623094">
        <w:rPr>
          <w:rFonts w:ascii="Times New Roman" w:hAnsi="Times New Roman" w:cs="Times New Roman"/>
          <w:color w:val="222222"/>
          <w:sz w:val="24"/>
          <w:szCs w:val="24"/>
          <w:shd w:val="clear" w:color="auto" w:fill="FFFFFF"/>
        </w:rPr>
        <w:t>Ayodele</w:t>
      </w:r>
      <w:r w:rsidR="00623094">
        <w:rPr>
          <w:rFonts w:ascii="Times New Roman" w:hAnsi="Times New Roman" w:cs="Times New Roman"/>
          <w:color w:val="222222"/>
          <w:sz w:val="24"/>
          <w:szCs w:val="24"/>
          <w:shd w:val="clear" w:color="auto" w:fill="FFFFFF"/>
        </w:rPr>
        <w:t xml:space="preserve"> and</w:t>
      </w:r>
      <w:r w:rsidR="00623094" w:rsidRPr="00623094">
        <w:rPr>
          <w:rFonts w:ascii="Times New Roman" w:hAnsi="Times New Roman" w:cs="Times New Roman"/>
          <w:color w:val="222222"/>
          <w:sz w:val="24"/>
          <w:szCs w:val="24"/>
          <w:shd w:val="clear" w:color="auto" w:fill="FFFFFF"/>
        </w:rPr>
        <w:t xml:space="preserve"> Nasiru</w:t>
      </w:r>
      <w:r w:rsidR="00623094">
        <w:rPr>
          <w:rFonts w:ascii="Times New Roman" w:hAnsi="Times New Roman" w:cs="Times New Roman"/>
          <w:color w:val="222222"/>
          <w:sz w:val="24"/>
          <w:szCs w:val="24"/>
          <w:shd w:val="clear" w:color="auto" w:fill="FFFFFF"/>
        </w:rPr>
        <w:t xml:space="preserve"> (</w:t>
      </w:r>
      <w:r w:rsidR="00623094" w:rsidRPr="00623094">
        <w:rPr>
          <w:rFonts w:ascii="Times New Roman" w:hAnsi="Times New Roman" w:cs="Times New Roman"/>
          <w:color w:val="222222"/>
          <w:sz w:val="24"/>
          <w:szCs w:val="24"/>
          <w:shd w:val="clear" w:color="auto" w:fill="FFFFFF"/>
        </w:rPr>
        <w:t>2021</w:t>
      </w:r>
      <w:r w:rsidR="00623094">
        <w:rPr>
          <w:rFonts w:ascii="Times New Roman" w:hAnsi="Times New Roman" w:cs="Times New Roman"/>
          <w:color w:val="222222"/>
          <w:sz w:val="24"/>
          <w:szCs w:val="24"/>
          <w:shd w:val="clear" w:color="auto" w:fill="FFFFFF"/>
        </w:rPr>
        <w:t>) examining the influence of teaching techniques on learning outcomes</w:t>
      </w:r>
      <w:r w:rsidR="00274904">
        <w:rPr>
          <w:rFonts w:ascii="Times New Roman" w:hAnsi="Times New Roman" w:cs="Times New Roman"/>
          <w:color w:val="222222"/>
          <w:sz w:val="24"/>
          <w:szCs w:val="24"/>
          <w:shd w:val="clear" w:color="auto" w:fill="FFFFFF"/>
        </w:rPr>
        <w:t xml:space="preserve"> employing quasi-experimental design</w:t>
      </w:r>
      <w:r w:rsidR="00623094">
        <w:rPr>
          <w:rFonts w:ascii="Times New Roman" w:hAnsi="Times New Roman" w:cs="Times New Roman"/>
          <w:color w:val="222222"/>
          <w:sz w:val="24"/>
          <w:szCs w:val="24"/>
          <w:shd w:val="clear" w:color="auto" w:fill="FFFFFF"/>
        </w:rPr>
        <w:t xml:space="preserve"> revealed a positive relationship for 100 students in Nigeria. </w:t>
      </w:r>
      <w:r w:rsidR="00505E2E">
        <w:rPr>
          <w:rFonts w:ascii="Times New Roman" w:hAnsi="Times New Roman" w:cs="Times New Roman"/>
          <w:color w:val="222222"/>
          <w:sz w:val="24"/>
          <w:szCs w:val="24"/>
          <w:shd w:val="clear" w:color="auto" w:fill="FFFFFF"/>
        </w:rPr>
        <w:t xml:space="preserve">Therefore, </w:t>
      </w:r>
      <w:r w:rsidR="003F6424">
        <w:rPr>
          <w:rFonts w:ascii="Times New Roman" w:hAnsi="Times New Roman" w:cs="Times New Roman"/>
          <w:color w:val="222222"/>
          <w:sz w:val="24"/>
          <w:szCs w:val="24"/>
          <w:shd w:val="clear" w:color="auto" w:fill="FFFFFF"/>
        </w:rPr>
        <w:t>the aforementioned studies proposed positive association from school health to learning outcomes</w:t>
      </w:r>
      <w:r w:rsidR="00505E2E">
        <w:rPr>
          <w:rFonts w:ascii="Times New Roman" w:hAnsi="Times New Roman" w:cs="Times New Roman"/>
          <w:color w:val="222222"/>
          <w:sz w:val="24"/>
          <w:szCs w:val="24"/>
          <w:shd w:val="clear" w:color="auto" w:fill="FFFFFF"/>
        </w:rPr>
        <w:t xml:space="preserve"> </w:t>
      </w:r>
      <w:r w:rsidR="003F6424">
        <w:rPr>
          <w:rFonts w:ascii="Times New Roman" w:hAnsi="Times New Roman" w:cs="Times New Roman"/>
          <w:color w:val="222222"/>
          <w:sz w:val="24"/>
          <w:szCs w:val="24"/>
          <w:shd w:val="clear" w:color="auto" w:fill="FFFFFF"/>
        </w:rPr>
        <w:t xml:space="preserve">with different research methods and settings. </w:t>
      </w:r>
    </w:p>
    <w:p w14:paraId="4483C4A3" w14:textId="0E3F5834" w:rsidR="00EE1972" w:rsidRDefault="00EE1972" w:rsidP="005401E6">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Burrow</w:t>
      </w:r>
      <w:r w:rsidR="00BD6060">
        <w:rPr>
          <w:rFonts w:ascii="Times New Roman" w:hAnsi="Times New Roman" w:cs="Times New Roman"/>
          <w:color w:val="222222"/>
          <w:sz w:val="24"/>
          <w:szCs w:val="24"/>
          <w:shd w:val="clear" w:color="auto" w:fill="FFFFFF"/>
        </w:rPr>
        <w:t xml:space="preserve"> et al.</w:t>
      </w:r>
      <w:r>
        <w:rPr>
          <w:rFonts w:ascii="Times New Roman" w:hAnsi="Times New Roman" w:cs="Times New Roman"/>
          <w:color w:val="222222"/>
          <w:sz w:val="24"/>
          <w:szCs w:val="24"/>
          <w:shd w:val="clear" w:color="auto" w:fill="FFFFFF"/>
        </w:rPr>
        <w:t xml:space="preserve"> (2017) employing a literature review approach </w:t>
      </w:r>
      <w:r w:rsidR="00E77AD4">
        <w:rPr>
          <w:rFonts w:ascii="Times New Roman" w:hAnsi="Times New Roman" w:cs="Times New Roman"/>
          <w:color w:val="222222"/>
          <w:sz w:val="24"/>
          <w:szCs w:val="24"/>
          <w:shd w:val="clear" w:color="auto" w:fill="FFFFFF"/>
        </w:rPr>
        <w:t xml:space="preserve">for 33 relevant studies </w:t>
      </w:r>
      <w:r>
        <w:rPr>
          <w:rFonts w:ascii="Times New Roman" w:hAnsi="Times New Roman" w:cs="Times New Roman"/>
          <w:color w:val="222222"/>
          <w:sz w:val="24"/>
          <w:szCs w:val="24"/>
          <w:shd w:val="clear" w:color="auto" w:fill="FFFFFF"/>
        </w:rPr>
        <w:t xml:space="preserve">to investigate the effect of school health on students’ academic achievements found that </w:t>
      </w:r>
      <w:r w:rsidR="00E77AD4">
        <w:rPr>
          <w:rFonts w:ascii="Times New Roman" w:hAnsi="Times New Roman" w:cs="Times New Roman"/>
          <w:color w:val="222222"/>
          <w:sz w:val="24"/>
          <w:szCs w:val="24"/>
          <w:shd w:val="clear" w:color="auto" w:fill="FFFFFF"/>
        </w:rPr>
        <w:t xml:space="preserve">school </w:t>
      </w:r>
      <w:r w:rsidR="00E77AD4">
        <w:rPr>
          <w:rFonts w:ascii="Times New Roman" w:hAnsi="Times New Roman" w:cs="Times New Roman"/>
          <w:color w:val="222222"/>
          <w:sz w:val="24"/>
          <w:szCs w:val="24"/>
          <w:shd w:val="clear" w:color="auto" w:fill="FFFFFF"/>
        </w:rPr>
        <w:lastRenderedPageBreak/>
        <w:t>health with dietary intakes ha</w:t>
      </w:r>
      <w:r w:rsidR="00F01B10">
        <w:rPr>
          <w:rFonts w:ascii="Times New Roman" w:hAnsi="Times New Roman" w:cs="Times New Roman"/>
          <w:color w:val="222222"/>
          <w:sz w:val="24"/>
          <w:szCs w:val="24"/>
          <w:shd w:val="clear" w:color="auto" w:fill="FFFFFF"/>
        </w:rPr>
        <w:t>d</w:t>
      </w:r>
      <w:r w:rsidR="00E77AD4">
        <w:rPr>
          <w:rFonts w:ascii="Times New Roman" w:hAnsi="Times New Roman" w:cs="Times New Roman"/>
          <w:color w:val="222222"/>
          <w:sz w:val="24"/>
          <w:szCs w:val="24"/>
          <w:shd w:val="clear" w:color="auto" w:fill="FFFFFF"/>
        </w:rPr>
        <w:t xml:space="preserve"> positive relationship with academic achievements. </w:t>
      </w:r>
      <w:r w:rsidR="0001103E">
        <w:rPr>
          <w:rFonts w:ascii="Times New Roman" w:hAnsi="Times New Roman" w:cs="Times New Roman"/>
          <w:color w:val="222222"/>
          <w:sz w:val="24"/>
          <w:szCs w:val="24"/>
          <w:shd w:val="clear" w:color="auto" w:fill="FFFFFF"/>
        </w:rPr>
        <w:t>Asada</w:t>
      </w:r>
      <w:r w:rsidR="00761704">
        <w:rPr>
          <w:rFonts w:ascii="Times New Roman" w:hAnsi="Times New Roman" w:cs="Times New Roman"/>
          <w:color w:val="222222"/>
          <w:sz w:val="24"/>
          <w:szCs w:val="24"/>
          <w:shd w:val="clear" w:color="auto" w:fill="FFFFFF"/>
        </w:rPr>
        <w:t xml:space="preserve"> et al.</w:t>
      </w:r>
      <w:r w:rsidR="0001103E">
        <w:rPr>
          <w:rFonts w:ascii="Times New Roman" w:hAnsi="Times New Roman" w:cs="Times New Roman"/>
          <w:color w:val="222222"/>
          <w:sz w:val="24"/>
          <w:szCs w:val="24"/>
          <w:shd w:val="clear" w:color="auto" w:fill="FFFFFF"/>
        </w:rPr>
        <w:t xml:space="preserve"> (2017) identifying the stakeholder’s perception on the relationship between school health and learning outcomes with a qualitative approach found that school health such as school food education and nutrition education had significant impacts on students’ learning outcomes. </w:t>
      </w:r>
      <w:r w:rsidR="00AC4F9B">
        <w:rPr>
          <w:rFonts w:ascii="Times New Roman" w:hAnsi="Times New Roman" w:cs="Times New Roman"/>
          <w:color w:val="222222"/>
          <w:sz w:val="24"/>
          <w:szCs w:val="24"/>
          <w:shd w:val="clear" w:color="auto" w:fill="FFFFFF"/>
        </w:rPr>
        <w:t>S</w:t>
      </w:r>
      <w:r w:rsidR="006102E5">
        <w:rPr>
          <w:rFonts w:ascii="Times New Roman" w:hAnsi="Times New Roman" w:cs="Times New Roman"/>
          <w:color w:val="222222"/>
          <w:sz w:val="24"/>
          <w:szCs w:val="24"/>
          <w:shd w:val="clear" w:color="auto" w:fill="FFFFFF"/>
        </w:rPr>
        <w:t>chool health such as healthy behaviors and fruit and vegetable consumption might reflect students’ learning outcomes positively in some degrees (</w:t>
      </w:r>
      <w:proofErr w:type="spellStart"/>
      <w:r w:rsidR="00BE721E">
        <w:rPr>
          <w:rFonts w:ascii="Times New Roman" w:hAnsi="Times New Roman" w:cs="Times New Roman"/>
          <w:color w:val="222222"/>
          <w:sz w:val="24"/>
          <w:szCs w:val="24"/>
          <w:shd w:val="clear" w:color="auto" w:fill="FFFFFF"/>
        </w:rPr>
        <w:t>Nigg</w:t>
      </w:r>
      <w:proofErr w:type="spellEnd"/>
      <w:r w:rsidR="00BE721E">
        <w:rPr>
          <w:rFonts w:ascii="Times New Roman" w:hAnsi="Times New Roman" w:cs="Times New Roman"/>
          <w:color w:val="222222"/>
          <w:sz w:val="24"/>
          <w:szCs w:val="24"/>
          <w:shd w:val="clear" w:color="auto" w:fill="FFFFFF"/>
        </w:rPr>
        <w:t xml:space="preserve"> &amp; Amato, 2015</w:t>
      </w:r>
      <w:r w:rsidR="006102E5">
        <w:rPr>
          <w:rFonts w:ascii="Times New Roman" w:hAnsi="Times New Roman" w:cs="Times New Roman"/>
          <w:color w:val="222222"/>
          <w:sz w:val="24"/>
          <w:szCs w:val="24"/>
          <w:shd w:val="clear" w:color="auto" w:fill="FFFFFF"/>
        </w:rPr>
        <w:t>).</w:t>
      </w:r>
      <w:r w:rsidR="00AC4F9B">
        <w:rPr>
          <w:rFonts w:ascii="Times New Roman" w:hAnsi="Times New Roman" w:cs="Times New Roman"/>
          <w:color w:val="222222"/>
          <w:sz w:val="24"/>
          <w:szCs w:val="24"/>
          <w:shd w:val="clear" w:color="auto" w:fill="FFFFFF"/>
        </w:rPr>
        <w:t xml:space="preserve"> Therefore, school health consisting of a variety of components has positive relationship with students’ learning outcomes as graduation and employment rates. </w:t>
      </w:r>
    </w:p>
    <w:p w14:paraId="25FE939C" w14:textId="4DC0A99B" w:rsidR="00AB6B56" w:rsidRDefault="0079398A" w:rsidP="005401E6">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aforementioned empirical studies highlighted an array of relationship and association between school health and learning outcomes with different research approaches, participants, </w:t>
      </w:r>
      <w:r w:rsidR="00E90139">
        <w:rPr>
          <w:rFonts w:ascii="Times New Roman" w:hAnsi="Times New Roman" w:cs="Times New Roman"/>
          <w:color w:val="222222"/>
          <w:sz w:val="24"/>
          <w:szCs w:val="24"/>
          <w:shd w:val="clear" w:color="auto" w:fill="FFFFFF"/>
        </w:rPr>
        <w:t xml:space="preserve">settings, </w:t>
      </w:r>
      <w:r>
        <w:rPr>
          <w:rFonts w:ascii="Times New Roman" w:hAnsi="Times New Roman" w:cs="Times New Roman"/>
          <w:color w:val="222222"/>
          <w:sz w:val="24"/>
          <w:szCs w:val="24"/>
          <w:shd w:val="clear" w:color="auto" w:fill="FFFFFF"/>
        </w:rPr>
        <w:t xml:space="preserve">and publication dates. Application of different theories tends to have different results. </w:t>
      </w:r>
      <w:r w:rsidR="00E24D72">
        <w:rPr>
          <w:rFonts w:ascii="Times New Roman" w:hAnsi="Times New Roman" w:cs="Times New Roman"/>
          <w:color w:val="222222"/>
          <w:sz w:val="24"/>
          <w:szCs w:val="24"/>
          <w:shd w:val="clear" w:color="auto" w:fill="FFFFFF"/>
        </w:rPr>
        <w:t>Therefore, the survey design with a correlational research approach to year</w:t>
      </w:r>
      <w:r w:rsidR="006525AB">
        <w:rPr>
          <w:rFonts w:ascii="Times New Roman" w:hAnsi="Times New Roman" w:cs="Times New Roman"/>
          <w:color w:val="222222"/>
          <w:sz w:val="24"/>
          <w:szCs w:val="24"/>
          <w:shd w:val="clear" w:color="auto" w:fill="FFFFFF"/>
        </w:rPr>
        <w:t>-</w:t>
      </w:r>
      <w:r w:rsidR="00E24D72">
        <w:rPr>
          <w:rFonts w:ascii="Times New Roman" w:hAnsi="Times New Roman" w:cs="Times New Roman"/>
          <w:color w:val="222222"/>
          <w:sz w:val="24"/>
          <w:szCs w:val="24"/>
          <w:shd w:val="clear" w:color="auto" w:fill="FFFFFF"/>
        </w:rPr>
        <w:t>2 and year</w:t>
      </w:r>
      <w:r w:rsidR="006525AB">
        <w:rPr>
          <w:rFonts w:ascii="Times New Roman" w:hAnsi="Times New Roman" w:cs="Times New Roman"/>
          <w:color w:val="222222"/>
          <w:sz w:val="24"/>
          <w:szCs w:val="24"/>
          <w:shd w:val="clear" w:color="auto" w:fill="FFFFFF"/>
        </w:rPr>
        <w:t>-</w:t>
      </w:r>
      <w:r w:rsidR="00E24D72">
        <w:rPr>
          <w:rFonts w:ascii="Times New Roman" w:hAnsi="Times New Roman" w:cs="Times New Roman"/>
          <w:color w:val="222222"/>
          <w:sz w:val="24"/>
          <w:szCs w:val="24"/>
          <w:shd w:val="clear" w:color="auto" w:fill="FFFFFF"/>
        </w:rPr>
        <w:t xml:space="preserve">3 </w:t>
      </w:r>
      <w:r w:rsidR="006525AB">
        <w:rPr>
          <w:rFonts w:ascii="Times New Roman" w:hAnsi="Times New Roman" w:cs="Times New Roman"/>
          <w:color w:val="222222"/>
          <w:sz w:val="24"/>
          <w:szCs w:val="24"/>
          <w:shd w:val="clear" w:color="auto" w:fill="FFFFFF"/>
        </w:rPr>
        <w:t>students</w:t>
      </w:r>
      <w:r w:rsidR="00E24D72">
        <w:rPr>
          <w:rFonts w:ascii="Times New Roman" w:hAnsi="Times New Roman" w:cs="Times New Roman"/>
          <w:color w:val="222222"/>
          <w:sz w:val="24"/>
          <w:szCs w:val="24"/>
          <w:shd w:val="clear" w:color="auto" w:fill="FFFFFF"/>
        </w:rPr>
        <w:t xml:space="preserve"> at general and high schools in Cambodia </w:t>
      </w:r>
      <w:r w:rsidR="006525AB">
        <w:rPr>
          <w:rFonts w:ascii="Times New Roman" w:hAnsi="Times New Roman" w:cs="Times New Roman"/>
          <w:color w:val="222222"/>
          <w:sz w:val="24"/>
          <w:szCs w:val="24"/>
          <w:shd w:val="clear" w:color="auto" w:fill="FFFFFF"/>
        </w:rPr>
        <w:t xml:space="preserve">can be undertaken to review the relationship. </w:t>
      </w:r>
    </w:p>
    <w:p w14:paraId="09367125"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60F9D602"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2718794B"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0E2B97AC"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2551F8FD"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5E98AB13"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5A513F0D"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07BBFD20"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2B1B22ED"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657FE04F"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5A9266AD"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0AA3FEC7"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47561964" w14:textId="77777777" w:rsidR="009D4093" w:rsidRDefault="009D4093" w:rsidP="005401E6">
      <w:pPr>
        <w:spacing w:line="360" w:lineRule="auto"/>
        <w:jc w:val="both"/>
        <w:rPr>
          <w:rFonts w:ascii="Times New Roman" w:hAnsi="Times New Roman" w:cs="Times New Roman"/>
          <w:color w:val="222222"/>
          <w:sz w:val="24"/>
          <w:szCs w:val="24"/>
          <w:shd w:val="clear" w:color="auto" w:fill="FFFFFF"/>
        </w:rPr>
      </w:pPr>
    </w:p>
    <w:p w14:paraId="3B2CB903" w14:textId="77777777" w:rsidR="00D00CE2" w:rsidRDefault="00D00CE2" w:rsidP="005401E6">
      <w:pPr>
        <w:spacing w:line="360" w:lineRule="auto"/>
        <w:jc w:val="both"/>
        <w:rPr>
          <w:rFonts w:ascii="Times New Roman" w:hAnsi="Times New Roman" w:cs="Times New Roman"/>
          <w:color w:val="222222"/>
          <w:sz w:val="24"/>
          <w:szCs w:val="24"/>
          <w:shd w:val="clear" w:color="auto" w:fill="FFFFFF"/>
        </w:rPr>
      </w:pPr>
    </w:p>
    <w:p w14:paraId="5D311C18" w14:textId="12FC95D0" w:rsidR="00D6732C" w:rsidRPr="00C332B0" w:rsidRDefault="00405586" w:rsidP="002112AF">
      <w:pPr>
        <w:jc w:val="center"/>
        <w:rPr>
          <w:rFonts w:ascii="Times New Roman" w:hAnsi="Times New Roman" w:cs="Times New Roman"/>
          <w:b/>
          <w:bCs/>
          <w:sz w:val="24"/>
          <w:szCs w:val="24"/>
        </w:rPr>
      </w:pPr>
      <w:r w:rsidRPr="00C332B0">
        <w:rPr>
          <w:rFonts w:ascii="Times New Roman" w:hAnsi="Times New Roman" w:cs="Times New Roman"/>
          <w:b/>
          <w:bCs/>
          <w:sz w:val="24"/>
          <w:szCs w:val="24"/>
        </w:rPr>
        <w:lastRenderedPageBreak/>
        <w:t>Research Method</w:t>
      </w:r>
    </w:p>
    <w:p w14:paraId="5FF2EA2E" w14:textId="74566717" w:rsidR="00405586" w:rsidRDefault="00D95F45" w:rsidP="00D87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method was used to answer two research questions in terms of variable relationship. </w:t>
      </w:r>
    </w:p>
    <w:p w14:paraId="31BDD099" w14:textId="6D84DEC0" w:rsidR="00D95F45" w:rsidRPr="00D87B5F" w:rsidRDefault="00D87B5F" w:rsidP="00D87B5F">
      <w:pPr>
        <w:spacing w:after="0" w:line="360" w:lineRule="auto"/>
        <w:rPr>
          <w:rFonts w:ascii="Times New Roman" w:hAnsi="Times New Roman" w:cs="Times New Roman"/>
          <w:b/>
          <w:bCs/>
          <w:sz w:val="24"/>
          <w:szCs w:val="24"/>
        </w:rPr>
      </w:pPr>
      <w:r w:rsidRPr="00D87B5F">
        <w:rPr>
          <w:rFonts w:ascii="Times New Roman" w:hAnsi="Times New Roman" w:cs="Times New Roman"/>
          <w:b/>
          <w:bCs/>
          <w:sz w:val="24"/>
          <w:szCs w:val="24"/>
        </w:rPr>
        <w:t>Data Collection</w:t>
      </w:r>
    </w:p>
    <w:p w14:paraId="2926381D" w14:textId="4A71E23F" w:rsidR="00BD382E" w:rsidRDefault="00D87B5F" w:rsidP="00D87B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went directly to meet with </w:t>
      </w:r>
      <w:r w:rsidR="003903A0">
        <w:rPr>
          <w:rFonts w:ascii="Times New Roman" w:hAnsi="Times New Roman" w:cs="Times New Roman"/>
          <w:sz w:val="24"/>
          <w:szCs w:val="24"/>
        </w:rPr>
        <w:t xml:space="preserve">408 </w:t>
      </w:r>
      <w:r>
        <w:rPr>
          <w:rFonts w:ascii="Times New Roman" w:hAnsi="Times New Roman" w:cs="Times New Roman"/>
          <w:sz w:val="24"/>
          <w:szCs w:val="24"/>
        </w:rPr>
        <w:t xml:space="preserve">participants at general and technical high schools (GTHSs) </w:t>
      </w:r>
      <w:r w:rsidR="003903A0">
        <w:rPr>
          <w:rFonts w:ascii="Times New Roman" w:hAnsi="Times New Roman" w:cs="Times New Roman"/>
          <w:sz w:val="24"/>
          <w:szCs w:val="24"/>
        </w:rPr>
        <w:t xml:space="preserve">through a school principal for questionnaire completion. Before filling out the questionnaire, researchers introduced and instructed the participants how to fill them out correctly. </w:t>
      </w:r>
      <w:r w:rsidR="007603DA">
        <w:rPr>
          <w:rFonts w:ascii="Times New Roman" w:hAnsi="Times New Roman" w:cs="Times New Roman"/>
          <w:sz w:val="24"/>
          <w:szCs w:val="24"/>
        </w:rPr>
        <w:t xml:space="preserve">Data is collected by means of paper-based questionnaire for interpretation of research findings (Singh, 2006). </w:t>
      </w:r>
      <w:r w:rsidR="003903A0">
        <w:rPr>
          <w:rFonts w:ascii="Times New Roman" w:hAnsi="Times New Roman" w:cs="Times New Roman"/>
          <w:sz w:val="24"/>
          <w:szCs w:val="24"/>
        </w:rPr>
        <w:t>The participants were put to sit at one meeting hall listening to researchers’ instruction</w:t>
      </w:r>
      <w:r w:rsidR="00EA64C6">
        <w:rPr>
          <w:rFonts w:ascii="Times New Roman" w:hAnsi="Times New Roman" w:cs="Times New Roman"/>
          <w:sz w:val="24"/>
          <w:szCs w:val="24"/>
        </w:rPr>
        <w:t xml:space="preserve"> being from eight GTHSs within </w:t>
      </w:r>
      <w:r w:rsidR="00996606">
        <w:rPr>
          <w:rFonts w:ascii="Times New Roman" w:hAnsi="Times New Roman" w:cs="Times New Roman"/>
          <w:sz w:val="24"/>
          <w:szCs w:val="24"/>
        </w:rPr>
        <w:t xml:space="preserve">different </w:t>
      </w:r>
      <w:r w:rsidR="00EA64C6">
        <w:rPr>
          <w:rFonts w:ascii="Times New Roman" w:hAnsi="Times New Roman" w:cs="Times New Roman"/>
          <w:sz w:val="24"/>
          <w:szCs w:val="24"/>
        </w:rPr>
        <w:t>seven provinces.</w:t>
      </w:r>
      <w:r w:rsidR="00C22DEA">
        <w:rPr>
          <w:rFonts w:ascii="Times New Roman" w:hAnsi="Times New Roman" w:cs="Times New Roman"/>
          <w:sz w:val="24"/>
          <w:szCs w:val="24"/>
        </w:rPr>
        <w:t xml:space="preserve"> </w:t>
      </w:r>
      <w:r w:rsidR="00457984">
        <w:rPr>
          <w:rFonts w:ascii="Times New Roman" w:hAnsi="Times New Roman" w:cs="Times New Roman"/>
          <w:sz w:val="24"/>
          <w:szCs w:val="24"/>
        </w:rPr>
        <w:t xml:space="preserve">The data were collected using random sampling technique. </w:t>
      </w:r>
    </w:p>
    <w:p w14:paraId="302533F5" w14:textId="7C6BDDF5" w:rsidR="00843C8F" w:rsidRPr="00843C8F" w:rsidRDefault="00843C8F" w:rsidP="00843C8F">
      <w:pPr>
        <w:spacing w:after="0" w:line="360" w:lineRule="auto"/>
        <w:jc w:val="both"/>
        <w:rPr>
          <w:rFonts w:ascii="Times New Roman" w:hAnsi="Times New Roman" w:cs="Times New Roman"/>
          <w:b/>
          <w:bCs/>
          <w:sz w:val="24"/>
          <w:szCs w:val="24"/>
        </w:rPr>
      </w:pPr>
      <w:r w:rsidRPr="00843C8F">
        <w:rPr>
          <w:rFonts w:ascii="Times New Roman" w:hAnsi="Times New Roman" w:cs="Times New Roman"/>
          <w:b/>
          <w:bCs/>
          <w:sz w:val="24"/>
          <w:szCs w:val="24"/>
        </w:rPr>
        <w:t xml:space="preserve">Participant </w:t>
      </w:r>
      <w:r w:rsidR="00C21178">
        <w:rPr>
          <w:rFonts w:ascii="Times New Roman" w:hAnsi="Times New Roman" w:cs="Times New Roman"/>
          <w:b/>
          <w:bCs/>
          <w:sz w:val="24"/>
          <w:szCs w:val="24"/>
        </w:rPr>
        <w:t xml:space="preserve">and Demographic Information </w:t>
      </w:r>
    </w:p>
    <w:p w14:paraId="573B2185" w14:textId="4F5D4849" w:rsidR="00CB179B" w:rsidRDefault="004A55D6" w:rsidP="00710F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Technical education students are research participants as they are the main contributors to school health and learning outcomes. </w:t>
      </w:r>
      <w:r w:rsidR="00BF74E0">
        <w:rPr>
          <w:rFonts w:ascii="Times New Roman" w:hAnsi="Times New Roman" w:cs="Times New Roman"/>
          <w:sz w:val="24"/>
          <w:szCs w:val="24"/>
        </w:rPr>
        <w:t>Appropriate selection of research participants</w:t>
      </w:r>
      <w:r w:rsidR="00D742A8">
        <w:rPr>
          <w:rFonts w:ascii="Times New Roman" w:hAnsi="Times New Roman" w:cs="Times New Roman"/>
          <w:sz w:val="24"/>
          <w:szCs w:val="24"/>
        </w:rPr>
        <w:t xml:space="preserve"> is critical to get target points for generalizing the results</w:t>
      </w:r>
      <w:r w:rsidR="000D79FB">
        <w:rPr>
          <w:rFonts w:ascii="Times New Roman" w:hAnsi="Times New Roman" w:cs="Times New Roman"/>
          <w:sz w:val="24"/>
          <w:szCs w:val="24"/>
        </w:rPr>
        <w:t xml:space="preserve"> and making accurate comparison</w:t>
      </w:r>
      <w:r w:rsidR="00B8293E">
        <w:rPr>
          <w:rFonts w:ascii="Times New Roman" w:hAnsi="Times New Roman" w:cs="Times New Roman"/>
          <w:sz w:val="24"/>
          <w:szCs w:val="24"/>
        </w:rPr>
        <w:t>s</w:t>
      </w:r>
      <w:r w:rsidR="000D79FB">
        <w:rPr>
          <w:rFonts w:ascii="Times New Roman" w:hAnsi="Times New Roman" w:cs="Times New Roman"/>
          <w:sz w:val="24"/>
          <w:szCs w:val="24"/>
        </w:rPr>
        <w:t xml:space="preserve"> (</w:t>
      </w:r>
      <w:proofErr w:type="spellStart"/>
      <w:r w:rsidR="00F24968">
        <w:rPr>
          <w:rFonts w:ascii="Times New Roman" w:hAnsi="Times New Roman" w:cs="Times New Roman"/>
          <w:sz w:val="24"/>
          <w:szCs w:val="24"/>
        </w:rPr>
        <w:t>Tavakoli</w:t>
      </w:r>
      <w:proofErr w:type="spellEnd"/>
      <w:r w:rsidR="00F24968">
        <w:rPr>
          <w:rFonts w:ascii="Times New Roman" w:hAnsi="Times New Roman" w:cs="Times New Roman"/>
          <w:sz w:val="24"/>
          <w:szCs w:val="24"/>
        </w:rPr>
        <w:t>, 2012</w:t>
      </w:r>
      <w:r w:rsidR="000D79FB">
        <w:rPr>
          <w:rFonts w:ascii="Times New Roman" w:hAnsi="Times New Roman" w:cs="Times New Roman"/>
          <w:sz w:val="24"/>
          <w:szCs w:val="24"/>
        </w:rPr>
        <w:t>).</w:t>
      </w:r>
      <w:r w:rsidR="00F24968">
        <w:rPr>
          <w:rFonts w:ascii="Times New Roman" w:hAnsi="Times New Roman" w:cs="Times New Roman"/>
          <w:sz w:val="24"/>
          <w:szCs w:val="24"/>
        </w:rPr>
        <w:t xml:space="preserve"> </w:t>
      </w:r>
      <w:r w:rsidR="00C23EA3">
        <w:rPr>
          <w:rFonts w:ascii="Times New Roman" w:hAnsi="Times New Roman" w:cs="Times New Roman"/>
          <w:sz w:val="24"/>
          <w:szCs w:val="24"/>
        </w:rPr>
        <w:t xml:space="preserve">408 participants </w:t>
      </w:r>
      <w:r w:rsidR="007913C1">
        <w:rPr>
          <w:rFonts w:ascii="Times New Roman" w:hAnsi="Times New Roman" w:cs="Times New Roman"/>
          <w:sz w:val="24"/>
          <w:szCs w:val="24"/>
        </w:rPr>
        <w:t xml:space="preserve">(N=408) </w:t>
      </w:r>
      <w:r w:rsidR="00C23EA3">
        <w:rPr>
          <w:rFonts w:ascii="Times New Roman" w:hAnsi="Times New Roman" w:cs="Times New Roman"/>
          <w:sz w:val="24"/>
          <w:szCs w:val="24"/>
        </w:rPr>
        <w:t xml:space="preserve">were accessed </w:t>
      </w:r>
      <w:r w:rsidR="00C97357">
        <w:rPr>
          <w:rFonts w:ascii="Times New Roman" w:hAnsi="Times New Roman" w:cs="Times New Roman"/>
          <w:sz w:val="24"/>
          <w:szCs w:val="24"/>
        </w:rPr>
        <w:t>for</w:t>
      </w:r>
      <w:r w:rsidR="00C23EA3">
        <w:rPr>
          <w:rFonts w:ascii="Times New Roman" w:hAnsi="Times New Roman" w:cs="Times New Roman"/>
          <w:sz w:val="24"/>
          <w:szCs w:val="24"/>
        </w:rPr>
        <w:t xml:space="preserve"> questionnaire completion. </w:t>
      </w:r>
      <w:r w:rsidR="00F72C42">
        <w:rPr>
          <w:rFonts w:ascii="Times New Roman" w:hAnsi="Times New Roman" w:cs="Times New Roman"/>
          <w:sz w:val="24"/>
          <w:szCs w:val="24"/>
        </w:rPr>
        <w:t xml:space="preserve">The participants have to meet the certain criteria in order to be selected </w:t>
      </w:r>
      <w:r w:rsidR="00C97357">
        <w:rPr>
          <w:rFonts w:ascii="Times New Roman" w:hAnsi="Times New Roman" w:cs="Times New Roman"/>
          <w:sz w:val="24"/>
          <w:szCs w:val="24"/>
        </w:rPr>
        <w:t>including</w:t>
      </w:r>
      <w:r w:rsidR="00F72C42">
        <w:rPr>
          <w:rFonts w:ascii="Times New Roman" w:hAnsi="Times New Roman" w:cs="Times New Roman"/>
          <w:sz w:val="24"/>
          <w:szCs w:val="24"/>
        </w:rPr>
        <w:t xml:space="preserve"> 1)</w:t>
      </w:r>
      <w:r w:rsidR="007B46D4">
        <w:rPr>
          <w:rFonts w:ascii="Times New Roman" w:hAnsi="Times New Roman" w:cs="Times New Roman"/>
          <w:sz w:val="24"/>
          <w:szCs w:val="24"/>
        </w:rPr>
        <w:t xml:space="preserve"> currently studying</w:t>
      </w:r>
      <w:r w:rsidR="00FE2DFD">
        <w:rPr>
          <w:rFonts w:ascii="Times New Roman" w:hAnsi="Times New Roman" w:cs="Times New Roman"/>
          <w:sz w:val="24"/>
          <w:szCs w:val="24"/>
        </w:rPr>
        <w:t xml:space="preserve"> any trade</w:t>
      </w:r>
      <w:r w:rsidR="007B46D4">
        <w:rPr>
          <w:rFonts w:ascii="Times New Roman" w:hAnsi="Times New Roman" w:cs="Times New Roman"/>
          <w:sz w:val="24"/>
          <w:szCs w:val="24"/>
        </w:rPr>
        <w:t xml:space="preserve"> at GTHSs; 2)</w:t>
      </w:r>
      <w:r w:rsidR="00CB72FB">
        <w:rPr>
          <w:rFonts w:ascii="Times New Roman" w:hAnsi="Times New Roman" w:cs="Times New Roman"/>
          <w:sz w:val="24"/>
          <w:szCs w:val="24"/>
        </w:rPr>
        <w:t xml:space="preserve"> the year-II and year-III students as they are mature to school health and learning outcomes; 3) </w:t>
      </w:r>
      <w:r w:rsidR="00D020BC">
        <w:rPr>
          <w:rFonts w:ascii="Times New Roman" w:hAnsi="Times New Roman" w:cs="Times New Roman"/>
          <w:sz w:val="24"/>
          <w:szCs w:val="24"/>
        </w:rPr>
        <w:t xml:space="preserve">having different family income status (very poor, poor and medium); and 4) willing to fill out the questionnaire voluntarily. </w:t>
      </w:r>
      <w:r w:rsidR="0026244B">
        <w:rPr>
          <w:rFonts w:ascii="Times New Roman" w:hAnsi="Times New Roman" w:cs="Times New Roman"/>
          <w:sz w:val="24"/>
          <w:szCs w:val="24"/>
        </w:rPr>
        <w:t>Research participants are the target group that experiences and involves in the research phenomenon providing adequate required research information (Babbie, 2007).</w:t>
      </w:r>
      <w:r w:rsidR="00031FC7">
        <w:rPr>
          <w:rFonts w:ascii="Times New Roman" w:hAnsi="Times New Roman" w:cs="Times New Roman"/>
          <w:sz w:val="24"/>
          <w:szCs w:val="24"/>
        </w:rPr>
        <w:t xml:space="preserve"> The research participants were accessed through a consent form voluntarily and can withdraw at any time (Robinson, 2016).</w:t>
      </w:r>
    </w:p>
    <w:p w14:paraId="1B828E3D" w14:textId="6D62087A" w:rsidR="007753F1" w:rsidRPr="007753F1" w:rsidRDefault="005662D0" w:rsidP="0017620E">
      <w:pPr>
        <w:spacing w:after="0" w:line="360" w:lineRule="auto"/>
        <w:jc w:val="both"/>
        <w:rPr>
          <w:rFonts w:ascii="Times New Roman" w:hAnsi="Times New Roman" w:cs="Times New Roman"/>
          <w:sz w:val="24"/>
          <w:szCs w:val="24"/>
          <w:lang w:bidi="km-KH"/>
        </w:rPr>
      </w:pPr>
      <w:r>
        <w:rPr>
          <w:rFonts w:ascii="Times New Roman" w:hAnsi="Times New Roman" w:cs="Times New Roman"/>
          <w:sz w:val="24"/>
          <w:szCs w:val="24"/>
        </w:rPr>
        <w:t>The participants are from d</w:t>
      </w:r>
      <w:r w:rsidR="002C6472">
        <w:rPr>
          <w:rFonts w:ascii="Times New Roman" w:hAnsi="Times New Roman" w:cs="Times New Roman"/>
          <w:sz w:val="24"/>
          <w:szCs w:val="24"/>
        </w:rPr>
        <w:t>iverse</w:t>
      </w:r>
      <w:r>
        <w:rPr>
          <w:rFonts w:ascii="Times New Roman" w:hAnsi="Times New Roman" w:cs="Times New Roman"/>
          <w:sz w:val="24"/>
          <w:szCs w:val="24"/>
        </w:rPr>
        <w:t xml:space="preserve"> backgrounds such as sex, age, trade, grade/school year, school name and provinces, </w:t>
      </w:r>
      <w:r w:rsidR="002C6472">
        <w:rPr>
          <w:rFonts w:ascii="Times New Roman" w:hAnsi="Times New Roman" w:cs="Times New Roman"/>
          <w:sz w:val="24"/>
          <w:szCs w:val="24"/>
        </w:rPr>
        <w:t xml:space="preserve">different </w:t>
      </w:r>
      <w:r>
        <w:rPr>
          <w:rFonts w:ascii="Times New Roman" w:hAnsi="Times New Roman" w:cs="Times New Roman"/>
          <w:sz w:val="24"/>
          <w:szCs w:val="24"/>
        </w:rPr>
        <w:t xml:space="preserve">family </w:t>
      </w:r>
      <w:r w:rsidR="00BF206B">
        <w:rPr>
          <w:rFonts w:ascii="Times New Roman" w:hAnsi="Times New Roman" w:cs="Times New Roman"/>
          <w:sz w:val="24"/>
          <w:szCs w:val="24"/>
        </w:rPr>
        <w:t xml:space="preserve">income status. </w:t>
      </w:r>
      <w:r w:rsidR="004B41F4">
        <w:rPr>
          <w:rFonts w:ascii="Times New Roman" w:hAnsi="Times New Roman" w:cs="Times New Roman"/>
          <w:sz w:val="24"/>
          <w:szCs w:val="24"/>
        </w:rPr>
        <w:t xml:space="preserve">For example, </w:t>
      </w:r>
      <w:r w:rsidR="00C67EDD">
        <w:rPr>
          <w:rFonts w:ascii="Times New Roman" w:hAnsi="Times New Roman" w:cs="Times New Roman"/>
          <w:sz w:val="24"/>
          <w:szCs w:val="24"/>
        </w:rPr>
        <w:t>227 participants (55.6%) w</w:t>
      </w:r>
      <w:r w:rsidR="002C6472">
        <w:rPr>
          <w:rFonts w:ascii="Times New Roman" w:hAnsi="Times New Roman" w:cs="Times New Roman"/>
          <w:sz w:val="24"/>
          <w:szCs w:val="24"/>
        </w:rPr>
        <w:t>ere</w:t>
      </w:r>
      <w:r w:rsidR="00C67EDD">
        <w:rPr>
          <w:rFonts w:ascii="Times New Roman" w:hAnsi="Times New Roman" w:cs="Times New Roman"/>
          <w:sz w:val="24"/>
          <w:szCs w:val="24"/>
        </w:rPr>
        <w:t xml:space="preserve"> male as 181 participants (44.4%) w</w:t>
      </w:r>
      <w:r w:rsidR="00B878C7">
        <w:rPr>
          <w:rFonts w:ascii="Times New Roman" w:hAnsi="Times New Roman" w:cs="Times New Roman"/>
          <w:sz w:val="24"/>
          <w:szCs w:val="24"/>
        </w:rPr>
        <w:t>ere</w:t>
      </w:r>
      <w:r w:rsidR="00C67EDD">
        <w:rPr>
          <w:rFonts w:ascii="Times New Roman" w:hAnsi="Times New Roman" w:cs="Times New Roman"/>
          <w:sz w:val="24"/>
          <w:szCs w:val="24"/>
        </w:rPr>
        <w:t xml:space="preserve"> female. </w:t>
      </w:r>
      <w:r w:rsidR="005A5C03">
        <w:rPr>
          <w:rFonts w:ascii="Times New Roman" w:hAnsi="Times New Roman" w:cs="Times New Roman"/>
          <w:sz w:val="24"/>
          <w:szCs w:val="24"/>
        </w:rPr>
        <w:t>Upon completion of the questionnaire, the response rate was 100 percent as the school management was put them into one common hall for questionnaire completion. More than 70 percent of response rate for the questionnaire is very good (</w:t>
      </w:r>
      <w:proofErr w:type="spellStart"/>
      <w:r w:rsidR="002E7DCA">
        <w:rPr>
          <w:rFonts w:ascii="Times New Roman" w:hAnsi="Times New Roman" w:cs="Times New Roman"/>
          <w:sz w:val="24"/>
          <w:szCs w:val="24"/>
        </w:rPr>
        <w:t>Caputi</w:t>
      </w:r>
      <w:proofErr w:type="spellEnd"/>
      <w:r w:rsidR="002E7DCA">
        <w:rPr>
          <w:rFonts w:ascii="Times New Roman" w:hAnsi="Times New Roman" w:cs="Times New Roman"/>
          <w:sz w:val="24"/>
          <w:szCs w:val="24"/>
        </w:rPr>
        <w:t xml:space="preserve"> &amp; </w:t>
      </w:r>
      <w:proofErr w:type="spellStart"/>
      <w:r w:rsidR="002E7DCA">
        <w:rPr>
          <w:rFonts w:ascii="Times New Roman" w:hAnsi="Times New Roman" w:cs="Times New Roman"/>
          <w:sz w:val="24"/>
          <w:szCs w:val="24"/>
        </w:rPr>
        <w:t>Balnaves</w:t>
      </w:r>
      <w:proofErr w:type="spellEnd"/>
      <w:r w:rsidR="002E7DCA">
        <w:rPr>
          <w:rFonts w:ascii="Times New Roman" w:hAnsi="Times New Roman" w:cs="Times New Roman"/>
          <w:sz w:val="24"/>
          <w:szCs w:val="24"/>
        </w:rPr>
        <w:t>, 2001</w:t>
      </w:r>
      <w:r w:rsidR="005A5C03">
        <w:rPr>
          <w:rFonts w:ascii="Times New Roman" w:hAnsi="Times New Roman" w:cs="Times New Roman"/>
          <w:sz w:val="24"/>
          <w:szCs w:val="24"/>
        </w:rPr>
        <w:t xml:space="preserve">). </w:t>
      </w:r>
      <w:r w:rsidR="00CC7E5E">
        <w:rPr>
          <w:rFonts w:ascii="Times New Roman" w:hAnsi="Times New Roman" w:cs="Times New Roman"/>
          <w:sz w:val="24"/>
          <w:szCs w:val="24"/>
        </w:rPr>
        <w:t>The participants’ ages range from 15 to 22 years old. For instance, 117 participants (28.7%) age 17 years old. 172 participants (42.2%) age 18 years old</w:t>
      </w:r>
      <w:r w:rsidR="00B63ADB">
        <w:rPr>
          <w:rFonts w:ascii="Times New Roman" w:hAnsi="Times New Roman" w:cs="Times New Roman"/>
          <w:sz w:val="24"/>
          <w:szCs w:val="24"/>
        </w:rPr>
        <w:t xml:space="preserve">. 74 participants (18.1%) age 19 years old. </w:t>
      </w:r>
      <w:r w:rsidR="00BE10EC">
        <w:rPr>
          <w:rFonts w:ascii="Times New Roman" w:hAnsi="Times New Roman" w:cs="Times New Roman"/>
          <w:sz w:val="24"/>
          <w:szCs w:val="24"/>
        </w:rPr>
        <w:t xml:space="preserve">Among ten trades instructionally delivered at GTHSs, the students major in six trades consisting of Agronomy, Electricity, Tourism, ICT, Animal Husbandry and Electronic filling out the paper-based questionnaire. </w:t>
      </w:r>
      <w:r w:rsidR="00AC3A97">
        <w:rPr>
          <w:rFonts w:ascii="Times New Roman" w:hAnsi="Times New Roman" w:cs="Times New Roman"/>
          <w:sz w:val="24"/>
          <w:szCs w:val="24"/>
        </w:rPr>
        <w:t xml:space="preserve">For </w:t>
      </w:r>
      <w:r w:rsidR="00AC3A97">
        <w:rPr>
          <w:rFonts w:ascii="Times New Roman" w:hAnsi="Times New Roman" w:cs="Times New Roman"/>
          <w:sz w:val="24"/>
          <w:szCs w:val="24"/>
        </w:rPr>
        <w:lastRenderedPageBreak/>
        <w:t xml:space="preserve">example, 198 students (48.5%) majoring in Agronomy, 115 students (28.2%) majoring in </w:t>
      </w:r>
      <w:r w:rsidR="00B878C7">
        <w:rPr>
          <w:rFonts w:ascii="Times New Roman" w:hAnsi="Times New Roman" w:cs="Times New Roman"/>
          <w:sz w:val="24"/>
          <w:szCs w:val="24"/>
        </w:rPr>
        <w:t>electricity</w:t>
      </w:r>
      <w:r w:rsidR="00AC3A97">
        <w:rPr>
          <w:rFonts w:ascii="Times New Roman" w:hAnsi="Times New Roman" w:cs="Times New Roman"/>
          <w:sz w:val="24"/>
          <w:szCs w:val="24"/>
        </w:rPr>
        <w:t xml:space="preserve">, and 42 students (10.5%) majoring in Tourism. The rest majors in other trades. </w:t>
      </w:r>
      <w:r w:rsidR="00C43C01">
        <w:rPr>
          <w:rFonts w:ascii="Times New Roman" w:hAnsi="Times New Roman" w:cs="Times New Roman"/>
          <w:sz w:val="24"/>
          <w:szCs w:val="24"/>
        </w:rPr>
        <w:t xml:space="preserve">Following the participant criteria, only year-II and year-III students were contacted for questionnaire completion. 71 year-II students (17.4%) and 337 year-III students (82.6%) filled out the questionnaire. </w:t>
      </w:r>
      <w:r w:rsidR="00CE0084">
        <w:rPr>
          <w:rFonts w:ascii="Times New Roman" w:hAnsi="Times New Roman" w:cs="Times New Roman"/>
          <w:sz w:val="24"/>
          <w:szCs w:val="24"/>
        </w:rPr>
        <w:t>Eight GTHSs namely Preah Norodom Sihamoni</w:t>
      </w:r>
      <w:r w:rsidR="00E469C6">
        <w:rPr>
          <w:rFonts w:ascii="Times New Roman" w:hAnsi="Times New Roman" w:cs="Times New Roman"/>
          <w:sz w:val="24"/>
          <w:szCs w:val="24"/>
        </w:rPr>
        <w:t xml:space="preserve"> (20.1%)</w:t>
      </w:r>
      <w:r w:rsidR="00CE0084">
        <w:rPr>
          <w:rFonts w:ascii="Times New Roman" w:hAnsi="Times New Roman" w:cs="Times New Roman"/>
          <w:sz w:val="24"/>
          <w:szCs w:val="24"/>
        </w:rPr>
        <w:t>, Saint Francois</w:t>
      </w:r>
      <w:r w:rsidR="00A70C17">
        <w:rPr>
          <w:rFonts w:ascii="Times New Roman" w:hAnsi="Times New Roman" w:cs="Times New Roman"/>
          <w:sz w:val="24"/>
          <w:szCs w:val="24"/>
        </w:rPr>
        <w:t xml:space="preserve"> (24.8%)</w:t>
      </w:r>
      <w:r w:rsidR="00CE0084">
        <w:rPr>
          <w:rFonts w:ascii="Times New Roman" w:hAnsi="Times New Roman" w:cs="Times New Roman"/>
          <w:sz w:val="24"/>
          <w:szCs w:val="24"/>
        </w:rPr>
        <w:t xml:space="preserve">, Preah Bat Preah </w:t>
      </w:r>
      <w:proofErr w:type="spellStart"/>
      <w:r w:rsidR="00CE0084">
        <w:rPr>
          <w:rFonts w:ascii="Times New Roman" w:hAnsi="Times New Roman" w:cs="Times New Roman"/>
          <w:sz w:val="24"/>
          <w:szCs w:val="24"/>
        </w:rPr>
        <w:t>Borom</w:t>
      </w:r>
      <w:proofErr w:type="spellEnd"/>
      <w:r w:rsidR="00CE0084">
        <w:rPr>
          <w:rFonts w:ascii="Times New Roman" w:hAnsi="Times New Roman" w:cs="Times New Roman"/>
          <w:sz w:val="24"/>
          <w:szCs w:val="24"/>
        </w:rPr>
        <w:t xml:space="preserve"> Neath Norodom Sihamoni</w:t>
      </w:r>
      <w:r w:rsidR="00982990">
        <w:rPr>
          <w:rFonts w:ascii="Times New Roman" w:hAnsi="Times New Roman" w:cs="Times New Roman"/>
          <w:sz w:val="24"/>
          <w:szCs w:val="24"/>
        </w:rPr>
        <w:t xml:space="preserve"> (16.2%)</w:t>
      </w:r>
      <w:r w:rsidR="00CE0084">
        <w:rPr>
          <w:rFonts w:ascii="Times New Roman" w:hAnsi="Times New Roman" w:cs="Times New Roman"/>
          <w:sz w:val="24"/>
          <w:szCs w:val="24"/>
        </w:rPr>
        <w:t xml:space="preserve">, Preah Reach Sam </w:t>
      </w:r>
      <w:proofErr w:type="spellStart"/>
      <w:r w:rsidR="00CE0084">
        <w:rPr>
          <w:rFonts w:ascii="Times New Roman" w:hAnsi="Times New Roman" w:cs="Times New Roman"/>
          <w:sz w:val="24"/>
          <w:szCs w:val="24"/>
        </w:rPr>
        <w:t>Phear</w:t>
      </w:r>
      <w:proofErr w:type="spellEnd"/>
      <w:r w:rsidR="0009611F">
        <w:rPr>
          <w:rFonts w:ascii="Times New Roman" w:hAnsi="Times New Roman" w:cs="Times New Roman"/>
          <w:sz w:val="24"/>
          <w:szCs w:val="24"/>
        </w:rPr>
        <w:t xml:space="preserve"> (3.7%)</w:t>
      </w:r>
      <w:r w:rsidR="00CE0084">
        <w:rPr>
          <w:rFonts w:ascii="Times New Roman" w:hAnsi="Times New Roman" w:cs="Times New Roman"/>
          <w:sz w:val="24"/>
          <w:szCs w:val="24"/>
        </w:rPr>
        <w:t xml:space="preserve">, </w:t>
      </w:r>
      <w:proofErr w:type="spellStart"/>
      <w:r w:rsidR="00CE0084">
        <w:rPr>
          <w:rFonts w:ascii="Times New Roman" w:hAnsi="Times New Roman" w:cs="Times New Roman"/>
          <w:sz w:val="24"/>
          <w:szCs w:val="24"/>
        </w:rPr>
        <w:t>Chea</w:t>
      </w:r>
      <w:proofErr w:type="spellEnd"/>
      <w:r w:rsidR="00CE0084">
        <w:rPr>
          <w:rFonts w:ascii="Times New Roman" w:hAnsi="Times New Roman" w:cs="Times New Roman"/>
          <w:sz w:val="24"/>
          <w:szCs w:val="24"/>
        </w:rPr>
        <w:t xml:space="preserve"> Sim </w:t>
      </w:r>
      <w:proofErr w:type="spellStart"/>
      <w:r w:rsidR="00CE0084">
        <w:rPr>
          <w:rFonts w:ascii="Times New Roman" w:hAnsi="Times New Roman" w:cs="Times New Roman"/>
          <w:sz w:val="24"/>
          <w:szCs w:val="24"/>
        </w:rPr>
        <w:t>Tbeing</w:t>
      </w:r>
      <w:proofErr w:type="spellEnd"/>
      <w:r w:rsidR="00CE0084">
        <w:rPr>
          <w:rFonts w:ascii="Times New Roman" w:hAnsi="Times New Roman" w:cs="Times New Roman"/>
          <w:sz w:val="24"/>
          <w:szCs w:val="24"/>
        </w:rPr>
        <w:t xml:space="preserve"> Mean Chey</w:t>
      </w:r>
      <w:r w:rsidR="00BF13FA">
        <w:rPr>
          <w:rFonts w:ascii="Times New Roman" w:hAnsi="Times New Roman" w:cs="Times New Roman"/>
          <w:sz w:val="24"/>
          <w:szCs w:val="24"/>
        </w:rPr>
        <w:t xml:space="preserve"> (3.7%)</w:t>
      </w:r>
      <w:r w:rsidR="00CE0084">
        <w:rPr>
          <w:rFonts w:ascii="Times New Roman" w:hAnsi="Times New Roman" w:cs="Times New Roman"/>
          <w:sz w:val="24"/>
          <w:szCs w:val="24"/>
        </w:rPr>
        <w:t xml:space="preserve">, Hun Sen </w:t>
      </w:r>
      <w:proofErr w:type="spellStart"/>
      <w:r w:rsidR="00CE0084">
        <w:rPr>
          <w:rFonts w:ascii="Times New Roman" w:hAnsi="Times New Roman" w:cs="Times New Roman"/>
          <w:sz w:val="24"/>
          <w:szCs w:val="24"/>
        </w:rPr>
        <w:t>Peam</w:t>
      </w:r>
      <w:proofErr w:type="spellEnd"/>
      <w:r w:rsidR="00CE0084">
        <w:rPr>
          <w:rFonts w:ascii="Times New Roman" w:hAnsi="Times New Roman" w:cs="Times New Roman"/>
          <w:sz w:val="24"/>
          <w:szCs w:val="24"/>
        </w:rPr>
        <w:t xml:space="preserve"> </w:t>
      </w:r>
      <w:proofErr w:type="spellStart"/>
      <w:r w:rsidR="00CE0084">
        <w:rPr>
          <w:rFonts w:ascii="Times New Roman" w:hAnsi="Times New Roman" w:cs="Times New Roman"/>
          <w:sz w:val="24"/>
          <w:szCs w:val="24"/>
        </w:rPr>
        <w:t>Chikang</w:t>
      </w:r>
      <w:proofErr w:type="spellEnd"/>
      <w:r w:rsidR="00695775">
        <w:rPr>
          <w:rFonts w:ascii="Times New Roman" w:hAnsi="Times New Roman" w:cs="Times New Roman"/>
          <w:sz w:val="24"/>
          <w:szCs w:val="24"/>
        </w:rPr>
        <w:t xml:space="preserve"> (13.7%)</w:t>
      </w:r>
      <w:r w:rsidR="00CE0084">
        <w:rPr>
          <w:rFonts w:ascii="Times New Roman" w:hAnsi="Times New Roman" w:cs="Times New Roman"/>
          <w:sz w:val="24"/>
          <w:szCs w:val="24"/>
        </w:rPr>
        <w:t xml:space="preserve">, Heng Samrin </w:t>
      </w:r>
      <w:proofErr w:type="spellStart"/>
      <w:r w:rsidR="00CE0084">
        <w:rPr>
          <w:rFonts w:ascii="Times New Roman" w:hAnsi="Times New Roman" w:cs="Times New Roman"/>
          <w:sz w:val="24"/>
          <w:szCs w:val="24"/>
        </w:rPr>
        <w:t>Tbong</w:t>
      </w:r>
      <w:proofErr w:type="spellEnd"/>
      <w:r w:rsidR="00CE0084">
        <w:rPr>
          <w:rFonts w:ascii="Times New Roman" w:hAnsi="Times New Roman" w:cs="Times New Roman"/>
          <w:sz w:val="24"/>
          <w:szCs w:val="24"/>
        </w:rPr>
        <w:t xml:space="preserve"> </w:t>
      </w:r>
      <w:proofErr w:type="spellStart"/>
      <w:r w:rsidR="00CE0084">
        <w:rPr>
          <w:rFonts w:ascii="Times New Roman" w:hAnsi="Times New Roman" w:cs="Times New Roman"/>
          <w:sz w:val="24"/>
          <w:szCs w:val="24"/>
        </w:rPr>
        <w:t>Khmum</w:t>
      </w:r>
      <w:proofErr w:type="spellEnd"/>
      <w:r w:rsidR="00CE0084">
        <w:rPr>
          <w:rFonts w:ascii="Times New Roman" w:hAnsi="Times New Roman" w:cs="Times New Roman"/>
          <w:sz w:val="24"/>
          <w:szCs w:val="24"/>
        </w:rPr>
        <w:t xml:space="preserve"> Community</w:t>
      </w:r>
      <w:r w:rsidR="008459C2">
        <w:rPr>
          <w:rFonts w:ascii="Times New Roman" w:hAnsi="Times New Roman" w:cs="Times New Roman"/>
          <w:sz w:val="24"/>
          <w:szCs w:val="24"/>
        </w:rPr>
        <w:t xml:space="preserve"> (7.6%)</w:t>
      </w:r>
      <w:r w:rsidR="00CE0084">
        <w:rPr>
          <w:rFonts w:ascii="Times New Roman" w:hAnsi="Times New Roman" w:cs="Times New Roman"/>
          <w:sz w:val="24"/>
          <w:szCs w:val="24"/>
        </w:rPr>
        <w:t xml:space="preserve"> and ROTA </w:t>
      </w:r>
      <w:r w:rsidR="00F44FD7">
        <w:rPr>
          <w:rFonts w:ascii="Times New Roman" w:hAnsi="Times New Roman" w:cs="Times New Roman"/>
          <w:sz w:val="24"/>
          <w:szCs w:val="24"/>
        </w:rPr>
        <w:t xml:space="preserve">(10.3%) </w:t>
      </w:r>
      <w:r w:rsidR="00CE0084">
        <w:rPr>
          <w:rFonts w:ascii="Times New Roman" w:hAnsi="Times New Roman" w:cs="Times New Roman"/>
          <w:sz w:val="24"/>
          <w:szCs w:val="24"/>
        </w:rPr>
        <w:t xml:space="preserve">locate in seven different provinces consisting of </w:t>
      </w:r>
      <w:proofErr w:type="spellStart"/>
      <w:r w:rsidR="004D0278">
        <w:rPr>
          <w:rFonts w:ascii="Times New Roman" w:hAnsi="Times New Roman" w:cs="Times New Roman"/>
          <w:sz w:val="24"/>
          <w:szCs w:val="24"/>
          <w:lang w:bidi="km-KH"/>
        </w:rPr>
        <w:t>Kampot</w:t>
      </w:r>
      <w:proofErr w:type="spellEnd"/>
      <w:r w:rsidR="004D0278">
        <w:rPr>
          <w:rFonts w:ascii="Times New Roman" w:hAnsi="Times New Roman" w:cs="Times New Roman"/>
          <w:sz w:val="24"/>
          <w:szCs w:val="24"/>
          <w:lang w:bidi="km-KH"/>
        </w:rPr>
        <w:t xml:space="preserve"> (23.5%), Takeo (24.8%), </w:t>
      </w:r>
      <w:r w:rsidR="00E0686B">
        <w:rPr>
          <w:rFonts w:ascii="Times New Roman" w:hAnsi="Times New Roman" w:cs="Times New Roman"/>
          <w:sz w:val="24"/>
          <w:szCs w:val="24"/>
          <w:lang w:bidi="km-KH"/>
        </w:rPr>
        <w:t xml:space="preserve">Kampong Chhnang (16.4%), </w:t>
      </w:r>
      <w:r w:rsidR="00091328">
        <w:rPr>
          <w:rFonts w:ascii="Times New Roman" w:hAnsi="Times New Roman" w:cs="Times New Roman"/>
          <w:sz w:val="24"/>
          <w:szCs w:val="24"/>
          <w:lang w:bidi="km-KH"/>
        </w:rPr>
        <w:t xml:space="preserve">Preah Vihear (3.9%), </w:t>
      </w:r>
      <w:proofErr w:type="spellStart"/>
      <w:r w:rsidR="00A36D20">
        <w:rPr>
          <w:rFonts w:ascii="Times New Roman" w:hAnsi="Times New Roman" w:cs="Times New Roman"/>
          <w:sz w:val="24"/>
          <w:szCs w:val="24"/>
          <w:lang w:bidi="km-KH"/>
        </w:rPr>
        <w:t>Kampng</w:t>
      </w:r>
      <w:proofErr w:type="spellEnd"/>
      <w:r w:rsidR="00A36D20">
        <w:rPr>
          <w:rFonts w:ascii="Times New Roman" w:hAnsi="Times New Roman" w:cs="Times New Roman"/>
          <w:sz w:val="24"/>
          <w:szCs w:val="24"/>
          <w:lang w:bidi="km-KH"/>
        </w:rPr>
        <w:t xml:space="preserve"> Cham (13.5%), </w:t>
      </w:r>
      <w:proofErr w:type="spellStart"/>
      <w:r w:rsidR="007C5538">
        <w:rPr>
          <w:rFonts w:ascii="Times New Roman" w:hAnsi="Times New Roman" w:cs="Times New Roman"/>
          <w:sz w:val="24"/>
          <w:szCs w:val="24"/>
          <w:lang w:bidi="km-KH"/>
        </w:rPr>
        <w:t>Tbong</w:t>
      </w:r>
      <w:proofErr w:type="spellEnd"/>
      <w:r w:rsidR="007C5538">
        <w:rPr>
          <w:rFonts w:ascii="Times New Roman" w:hAnsi="Times New Roman" w:cs="Times New Roman"/>
          <w:sz w:val="24"/>
          <w:szCs w:val="24"/>
          <w:lang w:bidi="km-KH"/>
        </w:rPr>
        <w:t xml:space="preserve"> </w:t>
      </w:r>
      <w:proofErr w:type="spellStart"/>
      <w:r w:rsidR="007C5538">
        <w:rPr>
          <w:rFonts w:ascii="Times New Roman" w:hAnsi="Times New Roman" w:cs="Times New Roman"/>
          <w:sz w:val="24"/>
          <w:szCs w:val="24"/>
          <w:lang w:bidi="km-KH"/>
        </w:rPr>
        <w:t>Khmum</w:t>
      </w:r>
      <w:proofErr w:type="spellEnd"/>
      <w:r w:rsidR="007C5538">
        <w:rPr>
          <w:rFonts w:ascii="Times New Roman" w:hAnsi="Times New Roman" w:cs="Times New Roman"/>
          <w:sz w:val="24"/>
          <w:szCs w:val="24"/>
          <w:lang w:bidi="km-KH"/>
        </w:rPr>
        <w:t xml:space="preserve"> (7.6%), and Kandal (</w:t>
      </w:r>
      <w:r w:rsidR="005D7CB2">
        <w:rPr>
          <w:rFonts w:ascii="Times New Roman" w:hAnsi="Times New Roman" w:cs="Times New Roman"/>
          <w:sz w:val="24"/>
          <w:szCs w:val="24"/>
          <w:lang w:bidi="km-KH"/>
        </w:rPr>
        <w:t>10.3%</w:t>
      </w:r>
      <w:r w:rsidR="007C5538">
        <w:rPr>
          <w:rFonts w:ascii="Times New Roman" w:hAnsi="Times New Roman" w:cs="Times New Roman"/>
          <w:sz w:val="24"/>
          <w:szCs w:val="24"/>
          <w:lang w:bidi="km-KH"/>
        </w:rPr>
        <w:t>).</w:t>
      </w:r>
      <w:r w:rsidR="002E5C4A">
        <w:rPr>
          <w:rFonts w:ascii="Times New Roman" w:hAnsi="Times New Roman" w:cs="Times New Roman"/>
          <w:sz w:val="24"/>
          <w:szCs w:val="24"/>
          <w:lang w:bidi="km-KH"/>
        </w:rPr>
        <w:t xml:space="preserve"> Three family statuses were identified consisting of very poor (2.2%), poor (21.6%), and </w:t>
      </w:r>
      <w:r w:rsidR="004E44AD">
        <w:rPr>
          <w:rFonts w:ascii="Times New Roman" w:hAnsi="Times New Roman" w:cs="Times New Roman"/>
          <w:sz w:val="24"/>
          <w:szCs w:val="24"/>
          <w:lang w:bidi="km-KH"/>
        </w:rPr>
        <w:t>average</w:t>
      </w:r>
      <w:r w:rsidR="002E5C4A">
        <w:rPr>
          <w:rFonts w:ascii="Times New Roman" w:hAnsi="Times New Roman" w:cs="Times New Roman"/>
          <w:sz w:val="24"/>
          <w:szCs w:val="24"/>
          <w:lang w:bidi="km-KH"/>
        </w:rPr>
        <w:t xml:space="preserve"> (76.2%)</w:t>
      </w:r>
      <w:r w:rsidR="004E44AD">
        <w:rPr>
          <w:rFonts w:ascii="Times New Roman" w:hAnsi="Times New Roman" w:cs="Times New Roman"/>
          <w:sz w:val="24"/>
          <w:szCs w:val="24"/>
          <w:lang w:bidi="km-KH"/>
        </w:rPr>
        <w:t xml:space="preserve">. </w:t>
      </w:r>
    </w:p>
    <w:p w14:paraId="75EEFBB5" w14:textId="25A4ECE2" w:rsidR="003F3BCC" w:rsidRPr="00B07A6F" w:rsidRDefault="00B07A6F" w:rsidP="00B07A6F">
      <w:pPr>
        <w:autoSpaceDE w:val="0"/>
        <w:autoSpaceDN w:val="0"/>
        <w:adjustRightInd w:val="0"/>
        <w:spacing w:after="0" w:line="360" w:lineRule="auto"/>
        <w:rPr>
          <w:rFonts w:ascii="Times New Roman" w:hAnsi="Times New Roman" w:cs="Times New Roman"/>
          <w:b/>
          <w:bCs/>
          <w:sz w:val="24"/>
          <w:szCs w:val="24"/>
          <w:lang w:bidi="km-KH"/>
        </w:rPr>
      </w:pPr>
      <w:r w:rsidRPr="00B07A6F">
        <w:rPr>
          <w:rFonts w:ascii="Times New Roman" w:hAnsi="Times New Roman" w:cs="Times New Roman"/>
          <w:b/>
          <w:bCs/>
          <w:sz w:val="24"/>
          <w:szCs w:val="24"/>
          <w:lang w:bidi="km-KH"/>
        </w:rPr>
        <w:t>Research Instrument</w:t>
      </w:r>
    </w:p>
    <w:p w14:paraId="432060D6" w14:textId="7692523E" w:rsidR="00B07A6F" w:rsidRDefault="00344CD2" w:rsidP="00344CD2">
      <w:pPr>
        <w:autoSpaceDE w:val="0"/>
        <w:autoSpaceDN w:val="0"/>
        <w:adjustRightInd w:val="0"/>
        <w:spacing w:after="0" w:line="360" w:lineRule="auto"/>
        <w:jc w:val="both"/>
        <w:rPr>
          <w:rFonts w:ascii="Times New Roman" w:hAnsi="Times New Roman" w:cs="Times New Roman"/>
          <w:sz w:val="24"/>
          <w:szCs w:val="24"/>
          <w:lang w:bidi="km-KH"/>
        </w:rPr>
      </w:pPr>
      <w:r>
        <w:rPr>
          <w:rFonts w:ascii="Times New Roman" w:hAnsi="Times New Roman" w:cs="Times New Roman"/>
          <w:sz w:val="24"/>
          <w:szCs w:val="24"/>
          <w:lang w:bidi="km-KH"/>
        </w:rPr>
        <w:t xml:space="preserve">The paper-based questionnaire was used to collect data from participants as technical education students. </w:t>
      </w:r>
      <w:r w:rsidR="00004E34">
        <w:rPr>
          <w:rFonts w:ascii="Times New Roman" w:hAnsi="Times New Roman" w:cs="Times New Roman"/>
          <w:sz w:val="24"/>
          <w:szCs w:val="24"/>
          <w:lang w:bidi="km-KH"/>
        </w:rPr>
        <w:t>The questionnaire was adapted from Perez-Jorge</w:t>
      </w:r>
      <w:r w:rsidR="001D41EE">
        <w:rPr>
          <w:rFonts w:ascii="Times New Roman" w:hAnsi="Times New Roman" w:cs="Times New Roman"/>
          <w:sz w:val="24"/>
          <w:szCs w:val="24"/>
          <w:lang w:bidi="km-KH"/>
        </w:rPr>
        <w:t xml:space="preserve"> et al.</w:t>
      </w:r>
      <w:r w:rsidR="00004E34">
        <w:rPr>
          <w:rFonts w:ascii="Times New Roman" w:hAnsi="Times New Roman" w:cs="Times New Roman"/>
          <w:sz w:val="24"/>
          <w:szCs w:val="24"/>
          <w:lang w:bidi="km-KH"/>
        </w:rPr>
        <w:t xml:space="preserve"> (2016) to ensure the content validity. </w:t>
      </w:r>
      <w:r w:rsidR="005046A0">
        <w:rPr>
          <w:rFonts w:ascii="Times New Roman" w:hAnsi="Times New Roman" w:cs="Times New Roman"/>
          <w:sz w:val="24"/>
          <w:szCs w:val="24"/>
          <w:lang w:bidi="km-KH"/>
        </w:rPr>
        <w:t>The content validity measures the extent to which an instrument is intended to measure representing the content area (</w:t>
      </w:r>
      <w:proofErr w:type="spellStart"/>
      <w:r w:rsidR="005046A0">
        <w:rPr>
          <w:rFonts w:ascii="Times New Roman" w:hAnsi="Times New Roman" w:cs="Times New Roman"/>
          <w:sz w:val="24"/>
          <w:szCs w:val="24"/>
          <w:lang w:bidi="km-KH"/>
        </w:rPr>
        <w:t>Leedy</w:t>
      </w:r>
      <w:proofErr w:type="spellEnd"/>
      <w:r w:rsidR="005046A0">
        <w:rPr>
          <w:rFonts w:ascii="Times New Roman" w:hAnsi="Times New Roman" w:cs="Times New Roman"/>
          <w:sz w:val="24"/>
          <w:szCs w:val="24"/>
          <w:lang w:bidi="km-KH"/>
        </w:rPr>
        <w:t xml:space="preserve"> &amp; Ormrod, 2005). </w:t>
      </w:r>
      <w:r w:rsidR="008F76E1">
        <w:rPr>
          <w:rFonts w:ascii="Times New Roman" w:hAnsi="Times New Roman" w:cs="Times New Roman"/>
          <w:sz w:val="24"/>
          <w:szCs w:val="24"/>
          <w:lang w:bidi="km-KH"/>
        </w:rPr>
        <w:t xml:space="preserve">The questionnaire has two sections consisting of 1) for attributes of school health and students’ learning outcomes and 2) demographic information. </w:t>
      </w:r>
      <w:r w:rsidR="0023228E">
        <w:rPr>
          <w:rFonts w:ascii="Times New Roman" w:hAnsi="Times New Roman" w:cs="Times New Roman"/>
          <w:sz w:val="24"/>
          <w:szCs w:val="24"/>
          <w:lang w:bidi="km-KH"/>
        </w:rPr>
        <w:t xml:space="preserve">All attributes in section 1 are the five-point scale for participant rating for a total of 49 items. Among them, 34 items cover school health and 15 items cover students’ learning outcomes. </w:t>
      </w:r>
      <w:r w:rsidR="007409BD">
        <w:rPr>
          <w:rFonts w:ascii="Times New Roman" w:hAnsi="Times New Roman" w:cs="Times New Roman"/>
          <w:sz w:val="24"/>
          <w:szCs w:val="24"/>
          <w:lang w:bidi="km-KH"/>
        </w:rPr>
        <w:t xml:space="preserve">The scale ranges from 1 (strongly inappropriate), 2 (inappropriate), 3 (neutral), 4 (appropriate), and 5 (strongly appropriate). </w:t>
      </w:r>
      <w:r w:rsidR="00414C10">
        <w:rPr>
          <w:rFonts w:ascii="Times New Roman" w:hAnsi="Times New Roman" w:cs="Times New Roman"/>
          <w:sz w:val="24"/>
          <w:szCs w:val="24"/>
          <w:lang w:bidi="km-KH"/>
        </w:rPr>
        <w:t xml:space="preserve">For example, item 1 is “I would like to be taught about health and healthy lifestyle habits”. Item 2 is “I think that all the information about health is useful”. Item 3 is “It is very important to have knowledge about first aid measures”. Demographic information comprises sex, age, studying trade, school name, school year, etc. </w:t>
      </w:r>
    </w:p>
    <w:p w14:paraId="1C0B50C6" w14:textId="19659225" w:rsidR="00D15039" w:rsidRPr="00CB74FB" w:rsidRDefault="00D15039" w:rsidP="00344CD2">
      <w:pPr>
        <w:autoSpaceDE w:val="0"/>
        <w:autoSpaceDN w:val="0"/>
        <w:adjustRightInd w:val="0"/>
        <w:spacing w:after="0" w:line="360" w:lineRule="auto"/>
        <w:jc w:val="both"/>
        <w:rPr>
          <w:rFonts w:ascii="Times New Roman" w:hAnsi="Times New Roman" w:cs="Times New Roman"/>
          <w:b/>
          <w:bCs/>
          <w:sz w:val="24"/>
          <w:szCs w:val="24"/>
          <w:lang w:bidi="km-KH"/>
        </w:rPr>
      </w:pPr>
      <w:r w:rsidRPr="00CB74FB">
        <w:rPr>
          <w:rFonts w:ascii="Times New Roman" w:hAnsi="Times New Roman" w:cs="Times New Roman"/>
          <w:b/>
          <w:bCs/>
          <w:sz w:val="24"/>
          <w:szCs w:val="24"/>
          <w:lang w:bidi="km-KH"/>
        </w:rPr>
        <w:t>Data Analysis</w:t>
      </w:r>
    </w:p>
    <w:p w14:paraId="68A463BD" w14:textId="7DDD6466" w:rsidR="00D15039" w:rsidRDefault="00186972" w:rsidP="00344CD2">
      <w:pPr>
        <w:autoSpaceDE w:val="0"/>
        <w:autoSpaceDN w:val="0"/>
        <w:adjustRightInd w:val="0"/>
        <w:spacing w:after="0" w:line="360" w:lineRule="auto"/>
        <w:jc w:val="both"/>
        <w:rPr>
          <w:rFonts w:ascii="Times New Roman" w:hAnsi="Times New Roman" w:cs="Times New Roman"/>
          <w:sz w:val="24"/>
          <w:szCs w:val="24"/>
          <w:lang w:bidi="km-KH"/>
        </w:rPr>
      </w:pPr>
      <w:r>
        <w:rPr>
          <w:rFonts w:ascii="Times New Roman" w:hAnsi="Times New Roman" w:cs="Times New Roman"/>
          <w:sz w:val="24"/>
          <w:szCs w:val="24"/>
          <w:lang w:bidi="km-KH"/>
        </w:rPr>
        <w:t>SPSS version 25.0 was used to analysis quantitative data grounded from participants</w:t>
      </w:r>
      <w:r w:rsidR="006949C2">
        <w:rPr>
          <w:rFonts w:ascii="Times New Roman" w:hAnsi="Times New Roman" w:cs="Times New Roman"/>
          <w:sz w:val="24"/>
          <w:szCs w:val="24"/>
          <w:lang w:bidi="km-KH"/>
        </w:rPr>
        <w:t>’ ideas</w:t>
      </w:r>
      <w:r>
        <w:rPr>
          <w:rFonts w:ascii="Times New Roman" w:hAnsi="Times New Roman" w:cs="Times New Roman"/>
          <w:sz w:val="24"/>
          <w:szCs w:val="24"/>
          <w:lang w:bidi="km-KH"/>
        </w:rPr>
        <w:t xml:space="preserve">. </w:t>
      </w:r>
      <w:r w:rsidR="000F1BF1">
        <w:rPr>
          <w:rFonts w:ascii="Times New Roman" w:hAnsi="Times New Roman" w:cs="Times New Roman"/>
          <w:sz w:val="24"/>
          <w:szCs w:val="24"/>
          <w:lang w:bidi="km-KH"/>
        </w:rPr>
        <w:t>The correlational designed was applied to examine the relationship between two or more variables</w:t>
      </w:r>
      <w:r w:rsidR="00B15EBE">
        <w:rPr>
          <w:rFonts w:ascii="Times New Roman" w:hAnsi="Times New Roman" w:cs="Times New Roman"/>
          <w:sz w:val="24"/>
          <w:szCs w:val="24"/>
          <w:lang w:bidi="km-KH"/>
        </w:rPr>
        <w:t xml:space="preserve"> (Creswell, 2012).</w:t>
      </w:r>
      <w:r w:rsidR="00A11532">
        <w:rPr>
          <w:rFonts w:ascii="Times New Roman" w:hAnsi="Times New Roman" w:cs="Times New Roman"/>
          <w:sz w:val="24"/>
          <w:szCs w:val="24"/>
          <w:lang w:bidi="km-KH"/>
        </w:rPr>
        <w:t xml:space="preserve"> Specifically, a linear regression was used to answer two research questions. </w:t>
      </w:r>
      <w:r w:rsidR="00A27971">
        <w:rPr>
          <w:rFonts w:ascii="Times New Roman" w:hAnsi="Times New Roman" w:cs="Times New Roman"/>
          <w:sz w:val="24"/>
          <w:szCs w:val="24"/>
          <w:lang w:bidi="km-KH"/>
        </w:rPr>
        <w:t xml:space="preserve">A linear regression shows a relationship between one variable and another variable in terms of strength and direction (Moore, 1996). </w:t>
      </w:r>
      <w:r w:rsidR="005F5E9E">
        <w:rPr>
          <w:rFonts w:ascii="Times New Roman" w:hAnsi="Times New Roman" w:cs="Times New Roman"/>
          <w:sz w:val="24"/>
          <w:szCs w:val="24"/>
          <w:lang w:bidi="km-KH"/>
        </w:rPr>
        <w:t xml:space="preserve">Some hypotheses were also tested. </w:t>
      </w:r>
    </w:p>
    <w:p w14:paraId="0A8E5C53" w14:textId="4696ABFE" w:rsidR="00C0115C" w:rsidRPr="00C0115C" w:rsidRDefault="00C0115C" w:rsidP="00344CD2">
      <w:pPr>
        <w:autoSpaceDE w:val="0"/>
        <w:autoSpaceDN w:val="0"/>
        <w:adjustRightInd w:val="0"/>
        <w:spacing w:after="0" w:line="360" w:lineRule="auto"/>
        <w:jc w:val="both"/>
        <w:rPr>
          <w:rFonts w:ascii="Times New Roman" w:hAnsi="Times New Roman" w:cs="Times New Roman"/>
          <w:b/>
          <w:bCs/>
          <w:sz w:val="24"/>
          <w:szCs w:val="24"/>
          <w:lang w:bidi="km-KH"/>
        </w:rPr>
      </w:pPr>
      <w:r w:rsidRPr="00C0115C">
        <w:rPr>
          <w:rFonts w:ascii="Times New Roman" w:hAnsi="Times New Roman" w:cs="Times New Roman"/>
          <w:b/>
          <w:bCs/>
          <w:sz w:val="24"/>
          <w:szCs w:val="24"/>
          <w:lang w:bidi="km-KH"/>
        </w:rPr>
        <w:t>Results</w:t>
      </w:r>
    </w:p>
    <w:p w14:paraId="0A3A2F27" w14:textId="3F61082A" w:rsidR="00D63FC2" w:rsidRDefault="00CC3DEA" w:rsidP="00344CD2">
      <w:pPr>
        <w:autoSpaceDE w:val="0"/>
        <w:autoSpaceDN w:val="0"/>
        <w:adjustRightInd w:val="0"/>
        <w:spacing w:after="0" w:line="360" w:lineRule="auto"/>
        <w:jc w:val="both"/>
        <w:rPr>
          <w:rFonts w:ascii="Times New Roman" w:hAnsi="Times New Roman" w:cs="Times New Roman"/>
          <w:sz w:val="24"/>
          <w:szCs w:val="24"/>
          <w:lang w:bidi="km-KH"/>
        </w:rPr>
      </w:pPr>
      <w:r>
        <w:rPr>
          <w:rFonts w:ascii="Times New Roman" w:hAnsi="Times New Roman" w:cs="Times New Roman"/>
          <w:sz w:val="24"/>
          <w:szCs w:val="24"/>
          <w:lang w:bidi="km-KH"/>
        </w:rPr>
        <w:lastRenderedPageBreak/>
        <w:t xml:space="preserve">The 49-item scale indicated a reliability Cronbach Alpha of </w:t>
      </w:r>
      <w:r w:rsidR="00764B35" w:rsidRPr="0062638C">
        <w:rPr>
          <w:rFonts w:ascii="STSong" w:eastAsia="STSong" w:hAnsi="STSong" w:cs="Times New Roman" w:hint="eastAsia"/>
          <w:sz w:val="24"/>
          <w:szCs w:val="24"/>
          <w:lang w:bidi="km-KH"/>
        </w:rPr>
        <w:t>α</w:t>
      </w:r>
      <w:r>
        <w:rPr>
          <w:rFonts w:ascii="Times New Roman" w:hAnsi="Times New Roman" w:cs="Times New Roman"/>
          <w:sz w:val="24"/>
          <w:szCs w:val="24"/>
          <w:lang w:bidi="km-KH"/>
        </w:rPr>
        <w:t xml:space="preserve">=.884 (N=408). </w:t>
      </w:r>
      <w:r w:rsidR="00764B35">
        <w:rPr>
          <w:rFonts w:ascii="Times New Roman" w:hAnsi="Times New Roman" w:cs="Times New Roman"/>
          <w:sz w:val="24"/>
          <w:szCs w:val="24"/>
          <w:lang w:bidi="km-KH"/>
        </w:rPr>
        <w:t>Particularly</w:t>
      </w:r>
      <w:r w:rsidR="00341B52">
        <w:rPr>
          <w:rFonts w:ascii="Times New Roman" w:hAnsi="Times New Roman" w:cs="Times New Roman"/>
          <w:sz w:val="24"/>
          <w:szCs w:val="24"/>
          <w:lang w:bidi="km-KH"/>
        </w:rPr>
        <w:t>,</w:t>
      </w:r>
      <w:r w:rsidR="00764B35">
        <w:rPr>
          <w:rFonts w:ascii="Times New Roman" w:hAnsi="Times New Roman" w:cs="Times New Roman"/>
          <w:sz w:val="24"/>
          <w:szCs w:val="24"/>
          <w:lang w:bidi="km-KH"/>
        </w:rPr>
        <w:t xml:space="preserve"> the 34-item scale of school health attributes reported a reliability Cronbach Alpha of </w:t>
      </w:r>
      <w:r w:rsidR="00764B35" w:rsidRPr="0062638C">
        <w:rPr>
          <w:rFonts w:ascii="STSong" w:eastAsia="STSong" w:hAnsi="STSong" w:cs="Times New Roman" w:hint="eastAsia"/>
          <w:sz w:val="24"/>
          <w:szCs w:val="24"/>
          <w:lang w:bidi="km-KH"/>
        </w:rPr>
        <w:t>α</w:t>
      </w:r>
      <w:r w:rsidR="00764B35">
        <w:rPr>
          <w:rFonts w:ascii="Times New Roman" w:hAnsi="Times New Roman" w:cs="Times New Roman"/>
          <w:sz w:val="24"/>
          <w:szCs w:val="24"/>
          <w:lang w:bidi="km-KH"/>
        </w:rPr>
        <w:t xml:space="preserve">=.833. The 15-item scale of students’ learning outcomes reported a reliability Cronbach Alpha of </w:t>
      </w:r>
      <w:r w:rsidR="00764B35" w:rsidRPr="0062638C">
        <w:rPr>
          <w:rFonts w:ascii="STSong" w:eastAsia="STSong" w:hAnsi="STSong" w:cs="Times New Roman" w:hint="eastAsia"/>
          <w:sz w:val="24"/>
          <w:szCs w:val="24"/>
          <w:lang w:bidi="km-KH"/>
        </w:rPr>
        <w:t>α</w:t>
      </w:r>
      <w:r w:rsidR="00764B35">
        <w:rPr>
          <w:rFonts w:ascii="Times New Roman" w:hAnsi="Times New Roman" w:cs="Times New Roman"/>
          <w:sz w:val="24"/>
          <w:szCs w:val="24"/>
          <w:lang w:bidi="km-KH"/>
        </w:rPr>
        <w:t>=</w:t>
      </w:r>
      <w:r w:rsidR="001B545B">
        <w:rPr>
          <w:rFonts w:ascii="Times New Roman" w:hAnsi="Times New Roman" w:cs="Times New Roman"/>
          <w:sz w:val="24"/>
          <w:szCs w:val="24"/>
          <w:lang w:bidi="km-KH"/>
        </w:rPr>
        <w:t>.</w:t>
      </w:r>
      <w:r w:rsidR="00764B35">
        <w:rPr>
          <w:rFonts w:ascii="Times New Roman" w:hAnsi="Times New Roman" w:cs="Times New Roman"/>
          <w:sz w:val="24"/>
          <w:szCs w:val="24"/>
          <w:lang w:bidi="km-KH"/>
        </w:rPr>
        <w:t xml:space="preserve">839. </w:t>
      </w:r>
      <w:r w:rsidR="00D63FC2">
        <w:rPr>
          <w:rFonts w:ascii="Times New Roman" w:hAnsi="Times New Roman" w:cs="Times New Roman"/>
          <w:sz w:val="24"/>
          <w:szCs w:val="24"/>
          <w:lang w:bidi="km-KH"/>
        </w:rPr>
        <w:t xml:space="preserve">For the measurement instrument reliability, the test is internally consistent if Cronbach Alpha </w:t>
      </w:r>
      <w:r w:rsidR="00D63FC2" w:rsidRPr="0062638C">
        <w:rPr>
          <w:rFonts w:ascii="STSong" w:eastAsia="STSong" w:hAnsi="STSong" w:cs="Times New Roman" w:hint="eastAsia"/>
          <w:sz w:val="24"/>
          <w:szCs w:val="24"/>
          <w:lang w:bidi="km-KH"/>
        </w:rPr>
        <w:t>α</w:t>
      </w:r>
      <w:r w:rsidR="00D63FC2">
        <w:rPr>
          <w:rFonts w:ascii="Times New Roman" w:hAnsi="Times New Roman" w:cs="Times New Roman"/>
          <w:sz w:val="24"/>
          <w:szCs w:val="24"/>
          <w:lang w:bidi="km-KH"/>
        </w:rPr>
        <w:t xml:space="preserve"> &gt;.7</w:t>
      </w:r>
      <w:r w:rsidR="00964C26">
        <w:rPr>
          <w:rFonts w:ascii="Times New Roman" w:hAnsi="Times New Roman" w:cs="Times New Roman"/>
          <w:sz w:val="24"/>
          <w:szCs w:val="24"/>
          <w:lang w:bidi="km-KH"/>
        </w:rPr>
        <w:t>0</w:t>
      </w:r>
      <w:r w:rsidR="00D63FC2">
        <w:rPr>
          <w:rFonts w:ascii="Times New Roman" w:hAnsi="Times New Roman" w:cs="Times New Roman"/>
          <w:sz w:val="24"/>
          <w:szCs w:val="24"/>
          <w:lang w:bidi="km-KH"/>
        </w:rPr>
        <w:t xml:space="preserve"> (</w:t>
      </w:r>
      <w:proofErr w:type="spellStart"/>
      <w:r w:rsidR="00D63FC2">
        <w:rPr>
          <w:rFonts w:ascii="Times New Roman" w:hAnsi="Times New Roman" w:cs="Times New Roman"/>
          <w:sz w:val="24"/>
          <w:szCs w:val="24"/>
          <w:lang w:bidi="km-KH"/>
        </w:rPr>
        <w:t>Muijs</w:t>
      </w:r>
      <w:proofErr w:type="spellEnd"/>
      <w:r w:rsidR="00D63FC2">
        <w:rPr>
          <w:rFonts w:ascii="Times New Roman" w:hAnsi="Times New Roman" w:cs="Times New Roman"/>
          <w:sz w:val="24"/>
          <w:szCs w:val="24"/>
          <w:lang w:bidi="km-KH"/>
        </w:rPr>
        <w:t>, 2010).</w:t>
      </w:r>
      <w:r w:rsidR="001B545B">
        <w:rPr>
          <w:rFonts w:ascii="Times New Roman" w:hAnsi="Times New Roman" w:cs="Times New Roman"/>
          <w:sz w:val="24"/>
          <w:szCs w:val="24"/>
          <w:lang w:bidi="km-KH"/>
        </w:rPr>
        <w:t xml:space="preserve"> The internal reliability measures the different items consistently that </w:t>
      </w:r>
      <w:r w:rsidR="009B2FE4" w:rsidRPr="0062638C">
        <w:rPr>
          <w:rFonts w:ascii="STSong" w:eastAsia="STSong" w:hAnsi="STSong" w:cs="Times New Roman" w:hint="eastAsia"/>
          <w:sz w:val="24"/>
          <w:szCs w:val="24"/>
          <w:lang w:bidi="km-KH"/>
        </w:rPr>
        <w:t>α</w:t>
      </w:r>
      <w:r w:rsidR="009B2FE4">
        <w:rPr>
          <w:rFonts w:ascii="Times New Roman" w:hAnsi="Times New Roman" w:cs="Times New Roman"/>
          <w:sz w:val="24"/>
          <w:szCs w:val="24"/>
          <w:lang w:bidi="km-KH"/>
        </w:rPr>
        <w:t xml:space="preserve"> =</w:t>
      </w:r>
      <w:r w:rsidR="001B545B">
        <w:rPr>
          <w:rFonts w:ascii="Times New Roman" w:hAnsi="Times New Roman" w:cs="Times New Roman"/>
          <w:sz w:val="24"/>
          <w:szCs w:val="24"/>
          <w:lang w:bidi="km-KH"/>
        </w:rPr>
        <w:t>.8 indicates very good internal consistency (</w:t>
      </w:r>
      <w:r w:rsidR="00323EA5">
        <w:rPr>
          <w:rFonts w:ascii="Times New Roman" w:hAnsi="Times New Roman" w:cs="Times New Roman"/>
          <w:sz w:val="24"/>
          <w:szCs w:val="24"/>
          <w:lang w:bidi="km-KH"/>
        </w:rPr>
        <w:t>Robinson, 2016</w:t>
      </w:r>
      <w:r w:rsidR="001B545B">
        <w:rPr>
          <w:rFonts w:ascii="Times New Roman" w:hAnsi="Times New Roman" w:cs="Times New Roman"/>
          <w:sz w:val="24"/>
          <w:szCs w:val="24"/>
          <w:lang w:bidi="km-KH"/>
        </w:rPr>
        <w:t>).</w:t>
      </w:r>
    </w:p>
    <w:p w14:paraId="4707EF8B" w14:textId="3D0F3B8A" w:rsidR="00323EA5" w:rsidRDefault="00323EA5" w:rsidP="00344CD2">
      <w:pPr>
        <w:autoSpaceDE w:val="0"/>
        <w:autoSpaceDN w:val="0"/>
        <w:adjustRightInd w:val="0"/>
        <w:spacing w:after="0" w:line="360" w:lineRule="auto"/>
        <w:jc w:val="both"/>
        <w:rPr>
          <w:rFonts w:ascii="Times New Roman" w:hAnsi="Times New Roman" w:cs="Times New Roman"/>
          <w:sz w:val="24"/>
          <w:szCs w:val="24"/>
          <w:lang w:bidi="km-KH"/>
        </w:rPr>
      </w:pPr>
    </w:p>
    <w:p w14:paraId="3D98C33C" w14:textId="79C25DC8" w:rsidR="00A55DCE" w:rsidRDefault="008F7D37" w:rsidP="00A27971">
      <w:pPr>
        <w:autoSpaceDE w:val="0"/>
        <w:autoSpaceDN w:val="0"/>
        <w:adjustRightInd w:val="0"/>
        <w:spacing w:after="0" w:line="360" w:lineRule="auto"/>
        <w:jc w:val="both"/>
        <w:rPr>
          <w:rFonts w:ascii="Times New Roman" w:hAnsi="Times New Roman" w:cs="Times New Roman"/>
          <w:sz w:val="24"/>
          <w:szCs w:val="24"/>
          <w:lang w:bidi="km-KH"/>
        </w:rPr>
      </w:pPr>
      <w:r>
        <w:rPr>
          <w:rFonts w:ascii="Times New Roman" w:hAnsi="Times New Roman" w:cs="Times New Roman"/>
          <w:sz w:val="24"/>
          <w:szCs w:val="24"/>
          <w:lang w:bidi="km-KH"/>
        </w:rPr>
        <w:t>For Shapiro-Wilk test</w:t>
      </w:r>
      <w:r w:rsidR="005C34AD">
        <w:rPr>
          <w:rFonts w:ascii="Times New Roman" w:hAnsi="Times New Roman" w:cs="Times New Roman"/>
          <w:sz w:val="24"/>
          <w:szCs w:val="24"/>
          <w:lang w:bidi="km-KH"/>
        </w:rPr>
        <w:t xml:space="preserve"> of normality</w:t>
      </w:r>
      <w:r>
        <w:rPr>
          <w:rFonts w:ascii="Times New Roman" w:hAnsi="Times New Roman" w:cs="Times New Roman"/>
          <w:sz w:val="24"/>
          <w:szCs w:val="24"/>
          <w:lang w:bidi="km-KH"/>
        </w:rPr>
        <w:t>, t</w:t>
      </w:r>
      <w:r w:rsidR="00A400EC">
        <w:rPr>
          <w:rFonts w:ascii="Times New Roman" w:hAnsi="Times New Roman" w:cs="Times New Roman"/>
          <w:sz w:val="24"/>
          <w:szCs w:val="24"/>
          <w:lang w:bidi="km-KH"/>
        </w:rPr>
        <w:t xml:space="preserve">he data was normally distributed as </w:t>
      </w:r>
      <w:r w:rsidR="003E5E9D">
        <w:rPr>
          <w:rFonts w:ascii="Times New Roman" w:hAnsi="Times New Roman" w:cs="Times New Roman"/>
          <w:sz w:val="24"/>
          <w:szCs w:val="24"/>
          <w:lang w:bidi="km-KH"/>
        </w:rPr>
        <w:t>P</w:t>
      </w:r>
      <w:r w:rsidR="00A400EC">
        <w:rPr>
          <w:rFonts w:ascii="Times New Roman" w:hAnsi="Times New Roman" w:cs="Times New Roman"/>
          <w:sz w:val="24"/>
          <w:szCs w:val="24"/>
          <w:lang w:bidi="km-KH"/>
        </w:rPr>
        <w:t>=.059 (</w:t>
      </w:r>
      <w:r w:rsidR="0056482F">
        <w:rPr>
          <w:rFonts w:ascii="Times New Roman" w:hAnsi="Times New Roman" w:cs="Times New Roman"/>
          <w:sz w:val="24"/>
          <w:szCs w:val="24"/>
          <w:lang w:bidi="km-KH"/>
        </w:rPr>
        <w:t>P</w:t>
      </w:r>
      <w:r w:rsidR="00A400EC">
        <w:rPr>
          <w:rFonts w:ascii="Times New Roman" w:hAnsi="Times New Roman" w:cs="Times New Roman"/>
          <w:sz w:val="24"/>
          <w:szCs w:val="24"/>
          <w:lang w:bidi="km-KH"/>
        </w:rPr>
        <w:t>&gt;.05)</w:t>
      </w:r>
      <w:r w:rsidR="006A6654">
        <w:rPr>
          <w:rFonts w:ascii="Times New Roman" w:hAnsi="Times New Roman" w:cs="Times New Roman"/>
          <w:sz w:val="24"/>
          <w:szCs w:val="24"/>
          <w:lang w:bidi="km-KH"/>
        </w:rPr>
        <w:t xml:space="preserve"> for school health attributes and p=.126 (</w:t>
      </w:r>
      <w:r w:rsidR="0056482F">
        <w:rPr>
          <w:rFonts w:ascii="Times New Roman" w:hAnsi="Times New Roman" w:cs="Times New Roman"/>
          <w:sz w:val="24"/>
          <w:szCs w:val="24"/>
          <w:lang w:bidi="km-KH"/>
        </w:rPr>
        <w:t>P</w:t>
      </w:r>
      <w:r w:rsidR="006A6654">
        <w:rPr>
          <w:rFonts w:ascii="Times New Roman" w:hAnsi="Times New Roman" w:cs="Times New Roman"/>
          <w:sz w:val="24"/>
          <w:szCs w:val="24"/>
          <w:lang w:bidi="km-KH"/>
        </w:rPr>
        <w:t xml:space="preserve">&gt;.05) for student’s learning outcome attributes. </w:t>
      </w:r>
      <w:r w:rsidR="00435AD4">
        <w:rPr>
          <w:rFonts w:ascii="Times New Roman" w:hAnsi="Times New Roman" w:cs="Times New Roman"/>
          <w:sz w:val="24"/>
          <w:szCs w:val="24"/>
          <w:lang w:bidi="km-KH"/>
        </w:rPr>
        <w:t xml:space="preserve">Students’ learning outcomes had M=3.607 and SD=.484 whereas school health had M=3.431 and SD=.406. </w:t>
      </w:r>
      <w:r w:rsidR="002D39FA">
        <w:rPr>
          <w:rFonts w:ascii="Times New Roman" w:hAnsi="Times New Roman" w:cs="Times New Roman"/>
          <w:sz w:val="24"/>
          <w:szCs w:val="24"/>
          <w:lang w:bidi="km-KH"/>
        </w:rPr>
        <w:t>T</w:t>
      </w:r>
      <w:r w:rsidR="00C534E1">
        <w:rPr>
          <w:rFonts w:ascii="Times New Roman" w:hAnsi="Times New Roman" w:cs="Times New Roman"/>
          <w:sz w:val="24"/>
          <w:szCs w:val="24"/>
          <w:lang w:bidi="km-KH"/>
        </w:rPr>
        <w:t>he independence of observation was checked by using the Durbin-Watson Statistics. Its value is 1.</w:t>
      </w:r>
      <w:r w:rsidR="002D39FA">
        <w:rPr>
          <w:rFonts w:ascii="Times New Roman" w:hAnsi="Times New Roman" w:cs="Times New Roman"/>
          <w:sz w:val="24"/>
          <w:szCs w:val="24"/>
          <w:lang w:bidi="km-KH"/>
        </w:rPr>
        <w:t xml:space="preserve">82 ranging from 1.5 and 2.5 meaning that the data is relatively normal for linear regression. </w:t>
      </w:r>
      <w:r w:rsidR="00DD08AA">
        <w:rPr>
          <w:rFonts w:ascii="Times New Roman" w:hAnsi="Times New Roman" w:cs="Times New Roman"/>
          <w:sz w:val="24"/>
          <w:szCs w:val="24"/>
          <w:lang w:bidi="km-KH"/>
        </w:rPr>
        <w:t>The Durbin-Watson Statistics was used to detect autocorrelation in the residuals ranging from 0 to 4 that a value of 1.8 highlighting no evidence of autocorrelation (Vinod, 1973).</w:t>
      </w:r>
    </w:p>
    <w:p w14:paraId="40787BD8" w14:textId="77777777" w:rsidR="008378B0" w:rsidRPr="00DD08AA" w:rsidRDefault="008378B0" w:rsidP="00A27971">
      <w:pPr>
        <w:autoSpaceDE w:val="0"/>
        <w:autoSpaceDN w:val="0"/>
        <w:adjustRightInd w:val="0"/>
        <w:spacing w:after="0" w:line="360" w:lineRule="auto"/>
        <w:jc w:val="both"/>
        <w:rPr>
          <w:rFonts w:ascii="Times New Roman" w:hAnsi="Times New Roman" w:cs="Times New Roman"/>
          <w:sz w:val="24"/>
          <w:szCs w:val="24"/>
          <w:lang w:bidi="km-KH"/>
        </w:rPr>
      </w:pPr>
    </w:p>
    <w:p w14:paraId="4DEBDDB3" w14:textId="07FE0444" w:rsidR="009E21F3" w:rsidRDefault="001B126E" w:rsidP="00A279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bidi="km-KH"/>
        </w:rPr>
        <w:t xml:space="preserve">Research question 1: </w:t>
      </w:r>
      <w:r w:rsidR="009E21F3">
        <w:rPr>
          <w:rFonts w:ascii="Times New Roman" w:hAnsi="Times New Roman" w:cs="Times New Roman"/>
          <w:sz w:val="24"/>
          <w:szCs w:val="24"/>
        </w:rPr>
        <w:t>Is there a significant relationship between the school health and students’ learning outcomes</w:t>
      </w:r>
      <w:r w:rsidR="009E21F3" w:rsidRPr="0044225F">
        <w:rPr>
          <w:rFonts w:ascii="Times New Roman" w:hAnsi="Times New Roman" w:cs="Times New Roman"/>
          <w:sz w:val="24"/>
          <w:szCs w:val="24"/>
        </w:rPr>
        <w:t>?</w:t>
      </w:r>
      <w:r w:rsidR="009E21F3">
        <w:rPr>
          <w:rFonts w:ascii="Times New Roman" w:hAnsi="Times New Roman" w:cs="Times New Roman"/>
          <w:sz w:val="24"/>
          <w:szCs w:val="24"/>
        </w:rPr>
        <w:t xml:space="preserve"> </w:t>
      </w:r>
    </w:p>
    <w:p w14:paraId="7977DE6E" w14:textId="2642C5B3" w:rsidR="001B126E" w:rsidRDefault="00D62352" w:rsidP="00344CD2">
      <w:pPr>
        <w:autoSpaceDE w:val="0"/>
        <w:autoSpaceDN w:val="0"/>
        <w:adjustRightInd w:val="0"/>
        <w:spacing w:after="0" w:line="360" w:lineRule="auto"/>
        <w:jc w:val="both"/>
        <w:rPr>
          <w:rFonts w:ascii="Times New Roman" w:hAnsi="Times New Roman" w:cs="Times New Roman"/>
          <w:sz w:val="24"/>
          <w:szCs w:val="24"/>
          <w:lang w:bidi="km-KH"/>
        </w:rPr>
      </w:pPr>
      <w:r>
        <w:rPr>
          <w:rFonts w:ascii="Times New Roman" w:hAnsi="Times New Roman" w:cs="Times New Roman"/>
          <w:sz w:val="24"/>
          <w:szCs w:val="24"/>
          <w:lang w:bidi="km-KH"/>
        </w:rPr>
        <w:t xml:space="preserve">The linear regression indicated </w:t>
      </w:r>
      <w:r w:rsidRPr="006D3674">
        <w:rPr>
          <w:rFonts w:ascii="Times New Roman" w:hAnsi="Times New Roman" w:cs="Times New Roman"/>
          <w:i/>
          <w:iCs/>
          <w:sz w:val="24"/>
          <w:szCs w:val="24"/>
          <w:lang w:bidi="km-KH"/>
        </w:rPr>
        <w:t>r</w:t>
      </w:r>
      <w:r w:rsidR="006D3674" w:rsidRPr="006D3674">
        <w:rPr>
          <w:rFonts w:ascii="Times New Roman" w:hAnsi="Times New Roman" w:cs="Times New Roman"/>
          <w:i/>
          <w:iCs/>
          <w:sz w:val="24"/>
          <w:szCs w:val="24"/>
          <w:vertAlign w:val="superscript"/>
          <w:lang w:bidi="km-KH"/>
        </w:rPr>
        <w:t>2</w:t>
      </w:r>
      <w:r>
        <w:rPr>
          <w:rFonts w:ascii="Times New Roman" w:hAnsi="Times New Roman" w:cs="Times New Roman"/>
          <w:sz w:val="24"/>
          <w:szCs w:val="24"/>
          <w:lang w:bidi="km-KH"/>
        </w:rPr>
        <w:t xml:space="preserve">=.33, t=7.48, F (1, 406) =201.62, </w:t>
      </w:r>
      <w:r w:rsidR="00FC2570">
        <w:rPr>
          <w:rFonts w:ascii="Times New Roman" w:hAnsi="Times New Roman" w:cs="Times New Roman"/>
          <w:sz w:val="24"/>
          <w:szCs w:val="24"/>
          <w:lang w:bidi="km-KH"/>
        </w:rPr>
        <w:t>P</w:t>
      </w:r>
      <w:r>
        <w:rPr>
          <w:rFonts w:ascii="Times New Roman" w:hAnsi="Times New Roman" w:cs="Times New Roman"/>
          <w:sz w:val="24"/>
          <w:szCs w:val="24"/>
          <w:lang w:bidi="km-KH"/>
        </w:rPr>
        <w:t xml:space="preserve">=.000. This means statistical significance of the regression model that </w:t>
      </w:r>
      <w:r w:rsidR="00361ADB">
        <w:rPr>
          <w:rFonts w:ascii="Times New Roman" w:hAnsi="Times New Roman" w:cs="Times New Roman"/>
          <w:sz w:val="24"/>
          <w:szCs w:val="24"/>
          <w:lang w:bidi="km-KH"/>
        </w:rPr>
        <w:t>P</w:t>
      </w:r>
      <w:r>
        <w:rPr>
          <w:rFonts w:ascii="Times New Roman" w:hAnsi="Times New Roman" w:cs="Times New Roman"/>
          <w:sz w:val="24"/>
          <w:szCs w:val="24"/>
          <w:lang w:bidi="km-KH"/>
        </w:rPr>
        <w:t xml:space="preserve">&lt;.05. In addition, the correlation coefficient (R) was .576 which was greater than average weight. It is a good fit to data. </w:t>
      </w:r>
      <w:r w:rsidR="00223BB6">
        <w:rPr>
          <w:rFonts w:ascii="Times New Roman" w:hAnsi="Times New Roman" w:cs="Times New Roman"/>
          <w:sz w:val="24"/>
          <w:szCs w:val="24"/>
          <w:lang w:bidi="km-KH"/>
        </w:rPr>
        <w:t xml:space="preserve">Therefore, school health influences students’ learning outcomes. </w:t>
      </w:r>
    </w:p>
    <w:p w14:paraId="069F7A7D" w14:textId="77777777" w:rsidR="008378B0" w:rsidRDefault="008378B0" w:rsidP="00344CD2">
      <w:pPr>
        <w:autoSpaceDE w:val="0"/>
        <w:autoSpaceDN w:val="0"/>
        <w:adjustRightInd w:val="0"/>
        <w:spacing w:after="0" w:line="360" w:lineRule="auto"/>
        <w:jc w:val="both"/>
        <w:rPr>
          <w:rFonts w:ascii="Times New Roman" w:hAnsi="Times New Roman" w:cs="Times New Roman"/>
          <w:sz w:val="24"/>
          <w:szCs w:val="24"/>
          <w:lang w:bidi="km-KH"/>
        </w:rPr>
      </w:pPr>
    </w:p>
    <w:p w14:paraId="620BF0BA" w14:textId="77777777" w:rsidR="00C3796C" w:rsidRPr="00C3796C" w:rsidRDefault="00223BB6" w:rsidP="008378B0">
      <w:pPr>
        <w:spacing w:after="0" w:line="360" w:lineRule="auto"/>
        <w:jc w:val="both"/>
        <w:rPr>
          <w:rFonts w:ascii="Times New Roman" w:hAnsi="Times New Roman" w:cs="Times New Roman"/>
          <w:sz w:val="24"/>
          <w:szCs w:val="24"/>
        </w:rPr>
      </w:pPr>
      <w:r w:rsidRPr="00C3796C">
        <w:rPr>
          <w:rFonts w:ascii="Times New Roman" w:hAnsi="Times New Roman" w:cs="Times New Roman"/>
          <w:sz w:val="24"/>
          <w:szCs w:val="24"/>
          <w:lang w:bidi="km-KH"/>
        </w:rPr>
        <w:t xml:space="preserve">Research question 2: </w:t>
      </w:r>
      <w:r w:rsidR="00C3796C" w:rsidRPr="00C3796C">
        <w:rPr>
          <w:rFonts w:ascii="Times New Roman" w:hAnsi="Times New Roman" w:cs="Times New Roman"/>
          <w:sz w:val="24"/>
          <w:szCs w:val="24"/>
        </w:rPr>
        <w:t xml:space="preserve">Does students’ family socio-economic status reflect students’ learning outcomes? </w:t>
      </w:r>
    </w:p>
    <w:p w14:paraId="365BF4F7" w14:textId="78E831DE" w:rsidR="00F12574" w:rsidRPr="00CF0744" w:rsidRDefault="006D3674" w:rsidP="00556C15">
      <w:pPr>
        <w:autoSpaceDE w:val="0"/>
        <w:autoSpaceDN w:val="0"/>
        <w:adjustRightInd w:val="0"/>
        <w:spacing w:after="0" w:line="360" w:lineRule="auto"/>
        <w:jc w:val="both"/>
        <w:rPr>
          <w:rFonts w:ascii="Times New Roman" w:hAnsi="Times New Roman" w:cs="Times New Roman"/>
          <w:color w:val="010205"/>
          <w:sz w:val="24"/>
          <w:szCs w:val="24"/>
          <w:lang w:bidi="km-KH"/>
        </w:rPr>
      </w:pPr>
      <w:r>
        <w:rPr>
          <w:rFonts w:ascii="Times New Roman" w:hAnsi="Times New Roman" w:cs="Times New Roman"/>
          <w:sz w:val="24"/>
          <w:szCs w:val="24"/>
          <w:lang w:bidi="km-KH"/>
        </w:rPr>
        <w:t xml:space="preserve">The linear regression indicated </w:t>
      </w:r>
      <w:r w:rsidR="00D42B04" w:rsidRPr="00D42B04">
        <w:rPr>
          <w:rFonts w:ascii="Times New Roman" w:hAnsi="Times New Roman" w:cs="Times New Roman"/>
          <w:i/>
          <w:iCs/>
          <w:sz w:val="24"/>
          <w:szCs w:val="24"/>
          <w:lang w:bidi="km-KH"/>
        </w:rPr>
        <w:t>r</w:t>
      </w:r>
      <w:r w:rsidR="00D42B04" w:rsidRPr="00D42B04">
        <w:rPr>
          <w:rFonts w:ascii="Times New Roman" w:hAnsi="Times New Roman" w:cs="Times New Roman"/>
          <w:i/>
          <w:iCs/>
          <w:sz w:val="24"/>
          <w:szCs w:val="24"/>
          <w:vertAlign w:val="superscript"/>
          <w:lang w:bidi="km-KH"/>
        </w:rPr>
        <w:t>2</w:t>
      </w:r>
      <w:r w:rsidR="00D42B04" w:rsidRPr="006565C7">
        <w:rPr>
          <w:rFonts w:ascii="Times New Roman" w:hAnsi="Times New Roman" w:cs="Times New Roman"/>
          <w:sz w:val="24"/>
          <w:szCs w:val="24"/>
          <w:lang w:bidi="km-KH"/>
        </w:rPr>
        <w:t>=.001</w:t>
      </w:r>
      <w:r w:rsidR="006565C7" w:rsidRPr="006565C7">
        <w:rPr>
          <w:rFonts w:ascii="Times New Roman" w:hAnsi="Times New Roman" w:cs="Times New Roman"/>
          <w:sz w:val="24"/>
          <w:szCs w:val="24"/>
          <w:lang w:bidi="km-KH"/>
        </w:rPr>
        <w:t>, t=</w:t>
      </w:r>
      <w:r w:rsidR="006565C7" w:rsidRPr="006D3674">
        <w:rPr>
          <w:rFonts w:ascii="Times New Roman" w:hAnsi="Times New Roman" w:cs="Times New Roman"/>
          <w:color w:val="010205"/>
          <w:sz w:val="24"/>
          <w:szCs w:val="24"/>
          <w:lang w:bidi="km-KH"/>
        </w:rPr>
        <w:t>26.96</w:t>
      </w:r>
      <w:r w:rsidR="006565C7">
        <w:rPr>
          <w:rFonts w:ascii="Times New Roman" w:hAnsi="Times New Roman" w:cs="Times New Roman"/>
          <w:color w:val="010205"/>
          <w:sz w:val="24"/>
          <w:szCs w:val="24"/>
          <w:lang w:bidi="km-KH"/>
        </w:rPr>
        <w:t xml:space="preserve">, F (1, 406) =.531, </w:t>
      </w:r>
      <w:r w:rsidR="00602733">
        <w:rPr>
          <w:rFonts w:ascii="Times New Roman" w:hAnsi="Times New Roman" w:cs="Times New Roman"/>
          <w:color w:val="010205"/>
          <w:sz w:val="24"/>
          <w:szCs w:val="24"/>
          <w:lang w:bidi="km-KH"/>
        </w:rPr>
        <w:t>P</w:t>
      </w:r>
      <w:r w:rsidR="006565C7">
        <w:rPr>
          <w:rFonts w:ascii="Times New Roman" w:hAnsi="Times New Roman" w:cs="Times New Roman"/>
          <w:color w:val="010205"/>
          <w:sz w:val="24"/>
          <w:szCs w:val="24"/>
          <w:lang w:bidi="km-KH"/>
        </w:rPr>
        <w:t xml:space="preserve">=.467. This means that not statistical significance of the regression model that </w:t>
      </w:r>
      <w:r w:rsidR="00602733">
        <w:rPr>
          <w:rFonts w:ascii="Times New Roman" w:hAnsi="Times New Roman" w:cs="Times New Roman"/>
          <w:color w:val="010205"/>
          <w:sz w:val="24"/>
          <w:szCs w:val="24"/>
          <w:lang w:bidi="km-KH"/>
        </w:rPr>
        <w:t>P</w:t>
      </w:r>
      <w:r w:rsidR="006565C7">
        <w:rPr>
          <w:rFonts w:ascii="Times New Roman" w:hAnsi="Times New Roman" w:cs="Times New Roman"/>
          <w:color w:val="010205"/>
          <w:sz w:val="24"/>
          <w:szCs w:val="24"/>
          <w:lang w:bidi="km-KH"/>
        </w:rPr>
        <w:t xml:space="preserve">&gt;.05. </w:t>
      </w:r>
      <w:r w:rsidR="00DC2B62">
        <w:rPr>
          <w:rFonts w:ascii="Times New Roman" w:hAnsi="Times New Roman" w:cs="Times New Roman"/>
          <w:color w:val="010205"/>
          <w:sz w:val="24"/>
          <w:szCs w:val="24"/>
          <w:lang w:bidi="km-KH"/>
        </w:rPr>
        <w:t xml:space="preserve">In addition, the weight of R squared was too small to prove relationship. Therefore, students’ family socio-economic status didn’t predict students’ learning outcomes. </w:t>
      </w:r>
    </w:p>
    <w:p w14:paraId="710F35EB" w14:textId="64339429" w:rsidR="005360E6" w:rsidRDefault="00EB6BBA" w:rsidP="006211CE">
      <w:pPr>
        <w:rPr>
          <w:rFonts w:ascii="Times New Roman" w:hAnsi="Times New Roman" w:cs="Times New Roman"/>
          <w:sz w:val="24"/>
          <w:szCs w:val="24"/>
        </w:rPr>
      </w:pPr>
      <w:r w:rsidRPr="00942202">
        <w:rPr>
          <w:rFonts w:ascii="Times New Roman" w:hAnsi="Times New Roman" w:cs="Times New Roman"/>
          <w:b/>
          <w:bCs/>
          <w:sz w:val="24"/>
          <w:szCs w:val="24"/>
        </w:rPr>
        <w:t>Hypothesis 1:</w:t>
      </w:r>
      <w:r>
        <w:rPr>
          <w:rFonts w:ascii="Times New Roman" w:hAnsi="Times New Roman" w:cs="Times New Roman"/>
          <w:sz w:val="24"/>
          <w:szCs w:val="24"/>
        </w:rPr>
        <w:t xml:space="preserve"> </w:t>
      </w:r>
      <w:r w:rsidR="006E226C">
        <w:rPr>
          <w:rFonts w:ascii="Times New Roman" w:hAnsi="Times New Roman" w:cs="Times New Roman"/>
          <w:sz w:val="24"/>
          <w:szCs w:val="24"/>
        </w:rPr>
        <w:t xml:space="preserve">There are different perceptions of school health between students’ genders. </w:t>
      </w:r>
    </w:p>
    <w:p w14:paraId="3F98CC16" w14:textId="77777777" w:rsidR="00CF0744" w:rsidRDefault="00CF0744" w:rsidP="006211CE">
      <w:pPr>
        <w:rPr>
          <w:rFonts w:ascii="Times New Roman" w:hAnsi="Times New Roman" w:cs="Times New Roman"/>
          <w:sz w:val="24"/>
          <w:szCs w:val="24"/>
        </w:rPr>
      </w:pPr>
    </w:p>
    <w:p w14:paraId="446A7917" w14:textId="77777777" w:rsidR="00CF0744" w:rsidRDefault="00CF0744" w:rsidP="006211CE">
      <w:pPr>
        <w:rPr>
          <w:rFonts w:ascii="Times New Roman" w:hAnsi="Times New Roman" w:cs="Times New Roman"/>
          <w:sz w:val="24"/>
          <w:szCs w:val="24"/>
        </w:rPr>
      </w:pPr>
    </w:p>
    <w:p w14:paraId="73E2BC18" w14:textId="77777777" w:rsidR="00CF0744" w:rsidRDefault="00CF0744" w:rsidP="006211CE">
      <w:pPr>
        <w:rPr>
          <w:rFonts w:ascii="Times New Roman" w:hAnsi="Times New Roman" w:cs="Times New Roman"/>
          <w:sz w:val="24"/>
          <w:szCs w:val="24"/>
        </w:rPr>
      </w:pPr>
    </w:p>
    <w:p w14:paraId="29C7D8EA" w14:textId="4C9157BF" w:rsidR="006D6A54" w:rsidRPr="005360E6" w:rsidRDefault="006D6A54" w:rsidP="006211CE">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895082">
        <w:rPr>
          <w:rFonts w:ascii="Times New Roman" w:hAnsi="Times New Roman" w:cs="Times New Roman"/>
          <w:sz w:val="24"/>
          <w:szCs w:val="24"/>
        </w:rPr>
        <w:t>1</w:t>
      </w:r>
      <w:r>
        <w:rPr>
          <w:rFonts w:ascii="Times New Roman" w:hAnsi="Times New Roman" w:cs="Times New Roman"/>
          <w:sz w:val="24"/>
          <w:szCs w:val="24"/>
        </w:rPr>
        <w:t>. Independence Samples Test for Hypothesis 1</w:t>
      </w:r>
    </w:p>
    <w:tbl>
      <w:tblPr>
        <w:tblStyle w:val="TableGrid"/>
        <w:tblW w:w="10768" w:type="dxa"/>
        <w:jc w:val="center"/>
        <w:tblLayout w:type="fixed"/>
        <w:tblLook w:val="0000" w:firstRow="0" w:lastRow="0" w:firstColumn="0" w:lastColumn="0" w:noHBand="0" w:noVBand="0"/>
      </w:tblPr>
      <w:tblGrid>
        <w:gridCol w:w="850"/>
        <w:gridCol w:w="1560"/>
        <w:gridCol w:w="704"/>
        <w:gridCol w:w="695"/>
        <w:gridCol w:w="722"/>
        <w:gridCol w:w="993"/>
        <w:gridCol w:w="992"/>
        <w:gridCol w:w="1134"/>
        <w:gridCol w:w="1134"/>
        <w:gridCol w:w="992"/>
        <w:gridCol w:w="992"/>
      </w:tblGrid>
      <w:tr w:rsidR="001B7F26" w:rsidRPr="005360E6" w14:paraId="1563998C" w14:textId="77777777" w:rsidTr="003D7075">
        <w:trPr>
          <w:jc w:val="center"/>
        </w:trPr>
        <w:tc>
          <w:tcPr>
            <w:tcW w:w="10768" w:type="dxa"/>
            <w:gridSpan w:val="11"/>
          </w:tcPr>
          <w:p w14:paraId="625942C6"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b/>
                <w:bCs/>
                <w:color w:val="010205"/>
                <w:sz w:val="18"/>
                <w:szCs w:val="18"/>
                <w:lang w:bidi="km-KH"/>
              </w:rPr>
              <w:t>Independent Samples Test</w:t>
            </w:r>
          </w:p>
        </w:tc>
      </w:tr>
      <w:tr w:rsidR="0052779A" w:rsidRPr="005360E6" w14:paraId="5A394877" w14:textId="77777777" w:rsidTr="003D7075">
        <w:trPr>
          <w:jc w:val="center"/>
        </w:trPr>
        <w:tc>
          <w:tcPr>
            <w:tcW w:w="2410" w:type="dxa"/>
            <w:gridSpan w:val="2"/>
            <w:vMerge w:val="restart"/>
          </w:tcPr>
          <w:p w14:paraId="29064DC0" w14:textId="77777777" w:rsidR="001B7F26" w:rsidRPr="007C6FF3" w:rsidRDefault="001B7F26" w:rsidP="00F5402E">
            <w:pPr>
              <w:autoSpaceDE w:val="0"/>
              <w:autoSpaceDN w:val="0"/>
              <w:adjustRightInd w:val="0"/>
              <w:rPr>
                <w:rFonts w:ascii="Times New Roman" w:hAnsi="Times New Roman" w:cs="Times New Roman"/>
                <w:sz w:val="18"/>
                <w:szCs w:val="18"/>
                <w:lang w:bidi="km-KH"/>
              </w:rPr>
            </w:pPr>
          </w:p>
        </w:tc>
        <w:tc>
          <w:tcPr>
            <w:tcW w:w="1399" w:type="dxa"/>
            <w:gridSpan w:val="2"/>
          </w:tcPr>
          <w:p w14:paraId="71E199EF"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proofErr w:type="spellStart"/>
            <w:r w:rsidRPr="007C6FF3">
              <w:rPr>
                <w:rFonts w:ascii="Times New Roman" w:hAnsi="Times New Roman" w:cs="Times New Roman"/>
                <w:color w:val="264A60"/>
                <w:sz w:val="18"/>
                <w:szCs w:val="18"/>
                <w:lang w:bidi="km-KH"/>
              </w:rPr>
              <w:t>Levene's</w:t>
            </w:r>
            <w:proofErr w:type="spellEnd"/>
            <w:r w:rsidRPr="007C6FF3">
              <w:rPr>
                <w:rFonts w:ascii="Times New Roman" w:hAnsi="Times New Roman" w:cs="Times New Roman"/>
                <w:color w:val="264A60"/>
                <w:sz w:val="18"/>
                <w:szCs w:val="18"/>
                <w:lang w:bidi="km-KH"/>
              </w:rPr>
              <w:t xml:space="preserve"> Test for Equality of Variances</w:t>
            </w:r>
          </w:p>
        </w:tc>
        <w:tc>
          <w:tcPr>
            <w:tcW w:w="6959" w:type="dxa"/>
            <w:gridSpan w:val="7"/>
          </w:tcPr>
          <w:p w14:paraId="76DB6832"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t-test for Equality of Means</w:t>
            </w:r>
          </w:p>
        </w:tc>
      </w:tr>
      <w:tr w:rsidR="001B7F26" w:rsidRPr="001B7F26" w14:paraId="2335EA0A" w14:textId="77777777" w:rsidTr="003D7075">
        <w:trPr>
          <w:jc w:val="center"/>
        </w:trPr>
        <w:tc>
          <w:tcPr>
            <w:tcW w:w="2410" w:type="dxa"/>
            <w:gridSpan w:val="2"/>
            <w:vMerge/>
          </w:tcPr>
          <w:p w14:paraId="629DD246"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704" w:type="dxa"/>
            <w:vMerge w:val="restart"/>
          </w:tcPr>
          <w:p w14:paraId="5B98A77D"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F</w:t>
            </w:r>
          </w:p>
        </w:tc>
        <w:tc>
          <w:tcPr>
            <w:tcW w:w="695" w:type="dxa"/>
            <w:vMerge w:val="restart"/>
          </w:tcPr>
          <w:p w14:paraId="0A5E3B02"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Sig.</w:t>
            </w:r>
          </w:p>
        </w:tc>
        <w:tc>
          <w:tcPr>
            <w:tcW w:w="722" w:type="dxa"/>
            <w:vMerge w:val="restart"/>
          </w:tcPr>
          <w:p w14:paraId="5C0A71F9"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t</w:t>
            </w:r>
          </w:p>
        </w:tc>
        <w:tc>
          <w:tcPr>
            <w:tcW w:w="993" w:type="dxa"/>
            <w:vMerge w:val="restart"/>
          </w:tcPr>
          <w:p w14:paraId="17C34AC8"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proofErr w:type="spellStart"/>
            <w:r w:rsidRPr="007C6FF3">
              <w:rPr>
                <w:rFonts w:ascii="Times New Roman" w:hAnsi="Times New Roman" w:cs="Times New Roman"/>
                <w:color w:val="264A60"/>
                <w:sz w:val="18"/>
                <w:szCs w:val="18"/>
                <w:lang w:bidi="km-KH"/>
              </w:rPr>
              <w:t>df</w:t>
            </w:r>
            <w:proofErr w:type="spellEnd"/>
          </w:p>
        </w:tc>
        <w:tc>
          <w:tcPr>
            <w:tcW w:w="992" w:type="dxa"/>
            <w:vMerge w:val="restart"/>
          </w:tcPr>
          <w:p w14:paraId="3A188EA8"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Sig. (2-tailed)</w:t>
            </w:r>
          </w:p>
        </w:tc>
        <w:tc>
          <w:tcPr>
            <w:tcW w:w="1134" w:type="dxa"/>
            <w:vMerge w:val="restart"/>
          </w:tcPr>
          <w:p w14:paraId="5B259F1E"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Mean Difference</w:t>
            </w:r>
          </w:p>
        </w:tc>
        <w:tc>
          <w:tcPr>
            <w:tcW w:w="1134" w:type="dxa"/>
            <w:vMerge w:val="restart"/>
          </w:tcPr>
          <w:p w14:paraId="4D5624CE"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Std. Error Difference</w:t>
            </w:r>
          </w:p>
        </w:tc>
        <w:tc>
          <w:tcPr>
            <w:tcW w:w="1984" w:type="dxa"/>
            <w:gridSpan w:val="2"/>
          </w:tcPr>
          <w:p w14:paraId="7CCEC3AE"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95% Confidence Interval of the Difference</w:t>
            </w:r>
          </w:p>
        </w:tc>
      </w:tr>
      <w:tr w:rsidR="001B7F26" w:rsidRPr="001B7F26" w14:paraId="7D0D93D6" w14:textId="77777777" w:rsidTr="003D7075">
        <w:trPr>
          <w:jc w:val="center"/>
        </w:trPr>
        <w:tc>
          <w:tcPr>
            <w:tcW w:w="2410" w:type="dxa"/>
            <w:gridSpan w:val="2"/>
            <w:vMerge/>
          </w:tcPr>
          <w:p w14:paraId="666056F9"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704" w:type="dxa"/>
            <w:vMerge/>
          </w:tcPr>
          <w:p w14:paraId="18F58A64"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695" w:type="dxa"/>
            <w:vMerge/>
          </w:tcPr>
          <w:p w14:paraId="1ECAE271"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722" w:type="dxa"/>
            <w:vMerge/>
          </w:tcPr>
          <w:p w14:paraId="685DC0CC"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993" w:type="dxa"/>
            <w:vMerge/>
          </w:tcPr>
          <w:p w14:paraId="6FBA3157"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992" w:type="dxa"/>
            <w:vMerge/>
          </w:tcPr>
          <w:p w14:paraId="5503D1A3"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1134" w:type="dxa"/>
            <w:vMerge/>
          </w:tcPr>
          <w:p w14:paraId="0E8E3DF3"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1134" w:type="dxa"/>
            <w:vMerge/>
          </w:tcPr>
          <w:p w14:paraId="01EB3DB1" w14:textId="77777777" w:rsidR="001B7F26" w:rsidRPr="007C6FF3" w:rsidRDefault="001B7F26" w:rsidP="00F5402E">
            <w:pPr>
              <w:autoSpaceDE w:val="0"/>
              <w:autoSpaceDN w:val="0"/>
              <w:adjustRightInd w:val="0"/>
              <w:rPr>
                <w:rFonts w:ascii="Times New Roman" w:hAnsi="Times New Roman" w:cs="Times New Roman"/>
                <w:color w:val="264A60"/>
                <w:sz w:val="18"/>
                <w:szCs w:val="18"/>
                <w:lang w:bidi="km-KH"/>
              </w:rPr>
            </w:pPr>
          </w:p>
        </w:tc>
        <w:tc>
          <w:tcPr>
            <w:tcW w:w="992" w:type="dxa"/>
          </w:tcPr>
          <w:p w14:paraId="38AA5B6F"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Lower</w:t>
            </w:r>
          </w:p>
        </w:tc>
        <w:tc>
          <w:tcPr>
            <w:tcW w:w="992" w:type="dxa"/>
          </w:tcPr>
          <w:p w14:paraId="7A828AA3" w14:textId="77777777" w:rsidR="001B7F26" w:rsidRPr="007C6FF3" w:rsidRDefault="001B7F26" w:rsidP="00F5402E">
            <w:pPr>
              <w:autoSpaceDE w:val="0"/>
              <w:autoSpaceDN w:val="0"/>
              <w:adjustRightInd w:val="0"/>
              <w:spacing w:line="320" w:lineRule="atLeast"/>
              <w:ind w:left="60" w:right="60"/>
              <w:jc w:val="center"/>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Upper</w:t>
            </w:r>
          </w:p>
        </w:tc>
      </w:tr>
      <w:tr w:rsidR="001B7F26" w:rsidRPr="001B7F26" w14:paraId="2FFAB44A" w14:textId="77777777" w:rsidTr="003D7075">
        <w:trPr>
          <w:jc w:val="center"/>
        </w:trPr>
        <w:tc>
          <w:tcPr>
            <w:tcW w:w="850" w:type="dxa"/>
            <w:vMerge w:val="restart"/>
          </w:tcPr>
          <w:p w14:paraId="0CED6611" w14:textId="77777777" w:rsidR="001B7F26" w:rsidRPr="007C6FF3" w:rsidRDefault="001B7F26" w:rsidP="00F5402E">
            <w:pPr>
              <w:autoSpaceDE w:val="0"/>
              <w:autoSpaceDN w:val="0"/>
              <w:adjustRightInd w:val="0"/>
              <w:spacing w:line="320" w:lineRule="atLeast"/>
              <w:ind w:left="60" w:right="60"/>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School Health</w:t>
            </w:r>
          </w:p>
        </w:tc>
        <w:tc>
          <w:tcPr>
            <w:tcW w:w="1560" w:type="dxa"/>
          </w:tcPr>
          <w:p w14:paraId="0A714E41" w14:textId="77777777" w:rsidR="001B7F26" w:rsidRPr="007C6FF3" w:rsidRDefault="001B7F26" w:rsidP="00F5402E">
            <w:pPr>
              <w:autoSpaceDE w:val="0"/>
              <w:autoSpaceDN w:val="0"/>
              <w:adjustRightInd w:val="0"/>
              <w:spacing w:line="320" w:lineRule="atLeast"/>
              <w:ind w:left="60" w:right="60"/>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Equal variances assumed</w:t>
            </w:r>
          </w:p>
        </w:tc>
        <w:tc>
          <w:tcPr>
            <w:tcW w:w="704" w:type="dxa"/>
          </w:tcPr>
          <w:p w14:paraId="37D3D04E"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.056</w:t>
            </w:r>
          </w:p>
        </w:tc>
        <w:tc>
          <w:tcPr>
            <w:tcW w:w="695" w:type="dxa"/>
          </w:tcPr>
          <w:p w14:paraId="53EB1F1F"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.813</w:t>
            </w:r>
          </w:p>
        </w:tc>
        <w:tc>
          <w:tcPr>
            <w:tcW w:w="722" w:type="dxa"/>
          </w:tcPr>
          <w:p w14:paraId="7E15B97B"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.790</w:t>
            </w:r>
          </w:p>
        </w:tc>
        <w:tc>
          <w:tcPr>
            <w:tcW w:w="993" w:type="dxa"/>
          </w:tcPr>
          <w:p w14:paraId="22799FFE"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406</w:t>
            </w:r>
          </w:p>
        </w:tc>
        <w:tc>
          <w:tcPr>
            <w:tcW w:w="992" w:type="dxa"/>
          </w:tcPr>
          <w:p w14:paraId="2EFB93F0"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.430</w:t>
            </w:r>
          </w:p>
        </w:tc>
        <w:tc>
          <w:tcPr>
            <w:tcW w:w="1134" w:type="dxa"/>
          </w:tcPr>
          <w:p w14:paraId="04672EAA"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.03212</w:t>
            </w:r>
          </w:p>
        </w:tc>
        <w:tc>
          <w:tcPr>
            <w:tcW w:w="1134" w:type="dxa"/>
          </w:tcPr>
          <w:p w14:paraId="0575E662"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.04064</w:t>
            </w:r>
          </w:p>
        </w:tc>
        <w:tc>
          <w:tcPr>
            <w:tcW w:w="992" w:type="dxa"/>
          </w:tcPr>
          <w:p w14:paraId="1714010A"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-.04778</w:t>
            </w:r>
          </w:p>
        </w:tc>
        <w:tc>
          <w:tcPr>
            <w:tcW w:w="992" w:type="dxa"/>
          </w:tcPr>
          <w:p w14:paraId="7578A263"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.11202</w:t>
            </w:r>
          </w:p>
        </w:tc>
      </w:tr>
      <w:tr w:rsidR="001B7F26" w:rsidRPr="001B7F26" w14:paraId="6306A98E" w14:textId="77777777" w:rsidTr="003D7075">
        <w:trPr>
          <w:jc w:val="center"/>
        </w:trPr>
        <w:tc>
          <w:tcPr>
            <w:tcW w:w="850" w:type="dxa"/>
            <w:vMerge/>
          </w:tcPr>
          <w:p w14:paraId="3FE34C55" w14:textId="77777777" w:rsidR="001B7F26" w:rsidRPr="007C6FF3" w:rsidRDefault="001B7F26" w:rsidP="00F5402E">
            <w:pPr>
              <w:autoSpaceDE w:val="0"/>
              <w:autoSpaceDN w:val="0"/>
              <w:adjustRightInd w:val="0"/>
              <w:rPr>
                <w:rFonts w:ascii="Times New Roman" w:hAnsi="Times New Roman" w:cs="Times New Roman"/>
                <w:color w:val="010205"/>
                <w:sz w:val="18"/>
                <w:szCs w:val="18"/>
                <w:lang w:bidi="km-KH"/>
              </w:rPr>
            </w:pPr>
          </w:p>
        </w:tc>
        <w:tc>
          <w:tcPr>
            <w:tcW w:w="1560" w:type="dxa"/>
          </w:tcPr>
          <w:p w14:paraId="0DF41D5E" w14:textId="77777777" w:rsidR="001B7F26" w:rsidRPr="007C6FF3" w:rsidRDefault="001B7F26" w:rsidP="00F5402E">
            <w:pPr>
              <w:autoSpaceDE w:val="0"/>
              <w:autoSpaceDN w:val="0"/>
              <w:adjustRightInd w:val="0"/>
              <w:spacing w:line="320" w:lineRule="atLeast"/>
              <w:ind w:left="60" w:right="60"/>
              <w:rPr>
                <w:rFonts w:ascii="Times New Roman" w:hAnsi="Times New Roman" w:cs="Times New Roman"/>
                <w:color w:val="264A60"/>
                <w:sz w:val="18"/>
                <w:szCs w:val="18"/>
                <w:lang w:bidi="km-KH"/>
              </w:rPr>
            </w:pPr>
            <w:r w:rsidRPr="007C6FF3">
              <w:rPr>
                <w:rFonts w:ascii="Times New Roman" w:hAnsi="Times New Roman" w:cs="Times New Roman"/>
                <w:color w:val="264A60"/>
                <w:sz w:val="18"/>
                <w:szCs w:val="18"/>
                <w:lang w:bidi="km-KH"/>
              </w:rPr>
              <w:t>Equal variances not assumed</w:t>
            </w:r>
          </w:p>
        </w:tc>
        <w:tc>
          <w:tcPr>
            <w:tcW w:w="704" w:type="dxa"/>
          </w:tcPr>
          <w:p w14:paraId="6917535F" w14:textId="77777777" w:rsidR="001B7F26" w:rsidRPr="007C6FF3" w:rsidRDefault="001B7F26" w:rsidP="00F5402E">
            <w:pPr>
              <w:autoSpaceDE w:val="0"/>
              <w:autoSpaceDN w:val="0"/>
              <w:adjustRightInd w:val="0"/>
              <w:rPr>
                <w:rFonts w:ascii="Times New Roman" w:hAnsi="Times New Roman" w:cs="Times New Roman"/>
                <w:sz w:val="18"/>
                <w:szCs w:val="18"/>
                <w:lang w:bidi="km-KH"/>
              </w:rPr>
            </w:pPr>
          </w:p>
        </w:tc>
        <w:tc>
          <w:tcPr>
            <w:tcW w:w="695" w:type="dxa"/>
          </w:tcPr>
          <w:p w14:paraId="3EE65481" w14:textId="77777777" w:rsidR="001B7F26" w:rsidRPr="007C6FF3" w:rsidRDefault="001B7F26" w:rsidP="007C6FF3">
            <w:pPr>
              <w:autoSpaceDE w:val="0"/>
              <w:autoSpaceDN w:val="0"/>
              <w:adjustRightInd w:val="0"/>
              <w:jc w:val="center"/>
              <w:rPr>
                <w:rFonts w:ascii="Times New Roman" w:hAnsi="Times New Roman" w:cs="Times New Roman"/>
                <w:sz w:val="18"/>
                <w:szCs w:val="18"/>
                <w:lang w:bidi="km-KH"/>
              </w:rPr>
            </w:pPr>
          </w:p>
        </w:tc>
        <w:tc>
          <w:tcPr>
            <w:tcW w:w="722" w:type="dxa"/>
          </w:tcPr>
          <w:p w14:paraId="2544AF68"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.795</w:t>
            </w:r>
          </w:p>
        </w:tc>
        <w:tc>
          <w:tcPr>
            <w:tcW w:w="993" w:type="dxa"/>
          </w:tcPr>
          <w:p w14:paraId="5709FAC0"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394.023</w:t>
            </w:r>
          </w:p>
        </w:tc>
        <w:tc>
          <w:tcPr>
            <w:tcW w:w="992" w:type="dxa"/>
          </w:tcPr>
          <w:p w14:paraId="34E58D04"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.427</w:t>
            </w:r>
          </w:p>
        </w:tc>
        <w:tc>
          <w:tcPr>
            <w:tcW w:w="1134" w:type="dxa"/>
          </w:tcPr>
          <w:p w14:paraId="655F9031"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.03212</w:t>
            </w:r>
          </w:p>
        </w:tc>
        <w:tc>
          <w:tcPr>
            <w:tcW w:w="1134" w:type="dxa"/>
          </w:tcPr>
          <w:p w14:paraId="1E2B9B6B"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.04040</w:t>
            </w:r>
          </w:p>
        </w:tc>
        <w:tc>
          <w:tcPr>
            <w:tcW w:w="992" w:type="dxa"/>
          </w:tcPr>
          <w:p w14:paraId="09F615C4"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-.04731</w:t>
            </w:r>
          </w:p>
        </w:tc>
        <w:tc>
          <w:tcPr>
            <w:tcW w:w="992" w:type="dxa"/>
          </w:tcPr>
          <w:p w14:paraId="40ADB507" w14:textId="77777777" w:rsidR="001B7F26" w:rsidRPr="007C6FF3" w:rsidRDefault="001B7F26" w:rsidP="007C6FF3">
            <w:pPr>
              <w:autoSpaceDE w:val="0"/>
              <w:autoSpaceDN w:val="0"/>
              <w:adjustRightInd w:val="0"/>
              <w:spacing w:line="320" w:lineRule="atLeast"/>
              <w:ind w:left="60" w:right="60"/>
              <w:jc w:val="center"/>
              <w:rPr>
                <w:rFonts w:ascii="Times New Roman" w:hAnsi="Times New Roman" w:cs="Times New Roman"/>
                <w:color w:val="010205"/>
                <w:sz w:val="18"/>
                <w:szCs w:val="18"/>
                <w:lang w:bidi="km-KH"/>
              </w:rPr>
            </w:pPr>
            <w:r w:rsidRPr="007C6FF3">
              <w:rPr>
                <w:rFonts w:ascii="Times New Roman" w:hAnsi="Times New Roman" w:cs="Times New Roman"/>
                <w:color w:val="010205"/>
                <w:sz w:val="18"/>
                <w:szCs w:val="18"/>
                <w:lang w:bidi="km-KH"/>
              </w:rPr>
              <w:t>.11155</w:t>
            </w:r>
          </w:p>
        </w:tc>
      </w:tr>
    </w:tbl>
    <w:p w14:paraId="43783D70" w14:textId="77777777" w:rsidR="00CD5B5E" w:rsidRDefault="00CD5B5E" w:rsidP="00D73D51">
      <w:pPr>
        <w:spacing w:line="360" w:lineRule="auto"/>
        <w:jc w:val="both"/>
        <w:rPr>
          <w:rFonts w:ascii="Times New Roman" w:hAnsi="Times New Roman" w:cs="Times New Roman"/>
        </w:rPr>
      </w:pPr>
    </w:p>
    <w:p w14:paraId="1D4F42ED" w14:textId="2E02FB87" w:rsidR="009D4093" w:rsidRDefault="00D73D51" w:rsidP="00D73D51">
      <w:pPr>
        <w:spacing w:line="360" w:lineRule="auto"/>
        <w:jc w:val="both"/>
        <w:rPr>
          <w:rFonts w:ascii="Times New Roman" w:hAnsi="Times New Roman" w:cs="Times New Roman"/>
          <w:sz w:val="24"/>
          <w:szCs w:val="24"/>
        </w:rPr>
      </w:pPr>
      <w:r w:rsidRPr="00D73D51">
        <w:rPr>
          <w:rFonts w:ascii="Times New Roman" w:hAnsi="Times New Roman" w:cs="Times New Roman"/>
          <w:sz w:val="24"/>
          <w:szCs w:val="24"/>
        </w:rPr>
        <w:t>The result highlighted t</w:t>
      </w:r>
      <w:r w:rsidR="00A35F83">
        <w:rPr>
          <w:rFonts w:ascii="Times New Roman" w:hAnsi="Times New Roman" w:cs="Times New Roman"/>
          <w:sz w:val="24"/>
          <w:szCs w:val="24"/>
        </w:rPr>
        <w:t xml:space="preserve"> </w:t>
      </w:r>
      <w:r w:rsidRPr="00D73D51">
        <w:rPr>
          <w:rFonts w:ascii="Times New Roman" w:hAnsi="Times New Roman" w:cs="Times New Roman"/>
          <w:sz w:val="24"/>
          <w:szCs w:val="24"/>
        </w:rPr>
        <w:t>(406)</w:t>
      </w:r>
      <w:r w:rsidR="003D14C5">
        <w:rPr>
          <w:rFonts w:ascii="Times New Roman" w:hAnsi="Times New Roman" w:cs="Times New Roman"/>
          <w:sz w:val="24"/>
          <w:szCs w:val="24"/>
        </w:rPr>
        <w:t xml:space="preserve"> </w:t>
      </w:r>
      <w:r w:rsidRPr="00D73D51">
        <w:rPr>
          <w:rFonts w:ascii="Times New Roman" w:hAnsi="Times New Roman" w:cs="Times New Roman"/>
          <w:sz w:val="24"/>
          <w:szCs w:val="24"/>
        </w:rPr>
        <w:t>=.790, P=.430 &gt;.05 meaning that we accept a null hypothesis</w:t>
      </w:r>
      <w:r w:rsidR="006D6A54">
        <w:rPr>
          <w:rFonts w:ascii="Times New Roman" w:hAnsi="Times New Roman" w:cs="Times New Roman"/>
          <w:sz w:val="24"/>
          <w:szCs w:val="24"/>
        </w:rPr>
        <w:t xml:space="preserve"> as shown in </w:t>
      </w:r>
      <w:r w:rsidR="006D6A54" w:rsidRPr="006D6A54">
        <w:rPr>
          <w:rFonts w:ascii="Times New Roman" w:hAnsi="Times New Roman" w:cs="Times New Roman"/>
          <w:b/>
          <w:bCs/>
          <w:sz w:val="24"/>
          <w:szCs w:val="24"/>
        </w:rPr>
        <w:t xml:space="preserve">Table </w:t>
      </w:r>
      <w:r w:rsidR="00895082">
        <w:rPr>
          <w:rFonts w:ascii="Times New Roman" w:hAnsi="Times New Roman" w:cs="Times New Roman"/>
          <w:b/>
          <w:bCs/>
          <w:sz w:val="24"/>
          <w:szCs w:val="24"/>
        </w:rPr>
        <w:t>1</w:t>
      </w:r>
      <w:r w:rsidR="006D6A54" w:rsidRPr="006D6A54">
        <w:rPr>
          <w:rFonts w:ascii="Times New Roman" w:hAnsi="Times New Roman" w:cs="Times New Roman"/>
          <w:b/>
          <w:bCs/>
          <w:sz w:val="24"/>
          <w:szCs w:val="24"/>
        </w:rPr>
        <w:t>.</w:t>
      </w:r>
      <w:r w:rsidR="006D6A54">
        <w:rPr>
          <w:rFonts w:ascii="Times New Roman" w:hAnsi="Times New Roman" w:cs="Times New Roman"/>
          <w:sz w:val="24"/>
          <w:szCs w:val="24"/>
        </w:rPr>
        <w:t xml:space="preserve"> </w:t>
      </w:r>
      <w:r w:rsidRPr="00D73D51">
        <w:rPr>
          <w:rFonts w:ascii="Times New Roman" w:hAnsi="Times New Roman" w:cs="Times New Roman"/>
          <w:sz w:val="24"/>
          <w:szCs w:val="24"/>
        </w:rPr>
        <w:t xml:space="preserve">Hypothesis 1 was not supported that there </w:t>
      </w:r>
      <w:r>
        <w:rPr>
          <w:rFonts w:ascii="Times New Roman" w:hAnsi="Times New Roman" w:cs="Times New Roman"/>
          <w:sz w:val="24"/>
          <w:szCs w:val="24"/>
        </w:rPr>
        <w:t>is</w:t>
      </w:r>
      <w:r w:rsidRPr="00D73D51">
        <w:rPr>
          <w:rFonts w:ascii="Times New Roman" w:hAnsi="Times New Roman" w:cs="Times New Roman"/>
          <w:sz w:val="24"/>
          <w:szCs w:val="24"/>
        </w:rPr>
        <w:t xml:space="preserve"> no different perception of school health between students’ genders. </w:t>
      </w:r>
    </w:p>
    <w:p w14:paraId="5787573D" w14:textId="04C7444F" w:rsidR="00D00CE2" w:rsidRPr="00A814F7" w:rsidRDefault="0011378D" w:rsidP="00E17553">
      <w:pPr>
        <w:spacing w:line="360" w:lineRule="auto"/>
        <w:jc w:val="both"/>
        <w:rPr>
          <w:rFonts w:ascii="Times New Roman" w:hAnsi="Times New Roman" w:cs="Times New Roman"/>
          <w:sz w:val="24"/>
          <w:szCs w:val="24"/>
        </w:rPr>
      </w:pPr>
      <w:r w:rsidRPr="00942202">
        <w:rPr>
          <w:rFonts w:ascii="Times New Roman" w:hAnsi="Times New Roman" w:cs="Times New Roman"/>
          <w:b/>
          <w:bCs/>
          <w:sz w:val="24"/>
          <w:szCs w:val="24"/>
        </w:rPr>
        <w:t>Hypothesis 2:</w:t>
      </w:r>
      <w:r>
        <w:rPr>
          <w:rFonts w:ascii="Times New Roman" w:hAnsi="Times New Roman" w:cs="Times New Roman"/>
          <w:sz w:val="24"/>
          <w:szCs w:val="24"/>
        </w:rPr>
        <w:t xml:space="preserve"> </w:t>
      </w:r>
      <w:r w:rsidR="003010AF">
        <w:rPr>
          <w:rFonts w:ascii="Times New Roman" w:hAnsi="Times New Roman" w:cs="Times New Roman"/>
          <w:sz w:val="24"/>
          <w:szCs w:val="24"/>
        </w:rPr>
        <w:t xml:space="preserve">There </w:t>
      </w:r>
      <w:r w:rsidR="004C1642">
        <w:rPr>
          <w:rFonts w:ascii="Times New Roman" w:hAnsi="Times New Roman" w:cs="Times New Roman"/>
          <w:sz w:val="24"/>
          <w:szCs w:val="24"/>
        </w:rPr>
        <w:t>are</w:t>
      </w:r>
      <w:r w:rsidR="003010AF">
        <w:rPr>
          <w:rFonts w:ascii="Times New Roman" w:hAnsi="Times New Roman" w:cs="Times New Roman"/>
          <w:sz w:val="24"/>
          <w:szCs w:val="24"/>
        </w:rPr>
        <w:t xml:space="preserve"> different perception</w:t>
      </w:r>
      <w:r w:rsidR="004C1642">
        <w:rPr>
          <w:rFonts w:ascii="Times New Roman" w:hAnsi="Times New Roman" w:cs="Times New Roman"/>
          <w:sz w:val="24"/>
          <w:szCs w:val="24"/>
        </w:rPr>
        <w:t>s</w:t>
      </w:r>
      <w:r w:rsidR="0052779A">
        <w:rPr>
          <w:rFonts w:ascii="Times New Roman" w:hAnsi="Times New Roman" w:cs="Times New Roman"/>
          <w:sz w:val="24"/>
          <w:szCs w:val="24"/>
        </w:rPr>
        <w:t xml:space="preserve"> of school health among family </w:t>
      </w:r>
      <w:r w:rsidR="008E06A1">
        <w:rPr>
          <w:rFonts w:ascii="Times New Roman" w:hAnsi="Times New Roman" w:cs="Times New Roman"/>
          <w:sz w:val="24"/>
          <w:szCs w:val="24"/>
        </w:rPr>
        <w:t xml:space="preserve">socio-economic </w:t>
      </w:r>
      <w:r w:rsidR="0052779A">
        <w:rPr>
          <w:rFonts w:ascii="Times New Roman" w:hAnsi="Times New Roman" w:cs="Times New Roman"/>
          <w:sz w:val="24"/>
          <w:szCs w:val="24"/>
        </w:rPr>
        <w:t>status.</w:t>
      </w:r>
    </w:p>
    <w:p w14:paraId="10CC1EC5" w14:textId="6AB1BF55" w:rsidR="00C3121D" w:rsidRPr="00C3121D" w:rsidRDefault="00230436" w:rsidP="00230436">
      <w:pPr>
        <w:autoSpaceDE w:val="0"/>
        <w:autoSpaceDN w:val="0"/>
        <w:adjustRightInd w:val="0"/>
        <w:spacing w:after="0" w:line="240" w:lineRule="auto"/>
        <w:jc w:val="center"/>
        <w:rPr>
          <w:rFonts w:ascii="Times New Roman" w:hAnsi="Times New Roman" w:cs="Times New Roman"/>
          <w:sz w:val="24"/>
          <w:szCs w:val="24"/>
          <w:lang w:bidi="km-KH"/>
        </w:rPr>
      </w:pPr>
      <w:r>
        <w:rPr>
          <w:rFonts w:ascii="Times New Roman" w:hAnsi="Times New Roman" w:cs="Times New Roman"/>
          <w:sz w:val="24"/>
          <w:szCs w:val="24"/>
          <w:lang w:bidi="km-KH"/>
        </w:rPr>
        <w:t xml:space="preserve">Table </w:t>
      </w:r>
      <w:r w:rsidR="00A02AD5">
        <w:rPr>
          <w:rFonts w:ascii="Times New Roman" w:hAnsi="Times New Roman" w:cs="Times New Roman"/>
          <w:sz w:val="24"/>
          <w:szCs w:val="24"/>
          <w:lang w:bidi="km-KH"/>
        </w:rPr>
        <w:t>2</w:t>
      </w:r>
      <w:r>
        <w:rPr>
          <w:rFonts w:ascii="Times New Roman" w:hAnsi="Times New Roman" w:cs="Times New Roman"/>
          <w:sz w:val="24"/>
          <w:szCs w:val="24"/>
          <w:lang w:bidi="km-KH"/>
        </w:rPr>
        <w:t>. One-Way ANOVA for Hypothesis 2</w:t>
      </w:r>
    </w:p>
    <w:tbl>
      <w:tblPr>
        <w:tblStyle w:val="TableGrid"/>
        <w:tblW w:w="8185" w:type="dxa"/>
        <w:jc w:val="center"/>
        <w:tblLayout w:type="fixed"/>
        <w:tblLook w:val="0000" w:firstRow="0" w:lastRow="0" w:firstColumn="0" w:lastColumn="0" w:noHBand="0" w:noVBand="0"/>
      </w:tblPr>
      <w:tblGrid>
        <w:gridCol w:w="1972"/>
        <w:gridCol w:w="1468"/>
        <w:gridCol w:w="1025"/>
        <w:gridCol w:w="1408"/>
        <w:gridCol w:w="1025"/>
        <w:gridCol w:w="1287"/>
      </w:tblGrid>
      <w:tr w:rsidR="00C3121D" w:rsidRPr="00C3121D" w14:paraId="030831E1" w14:textId="77777777" w:rsidTr="00C3121D">
        <w:trPr>
          <w:jc w:val="center"/>
        </w:trPr>
        <w:tc>
          <w:tcPr>
            <w:tcW w:w="8185" w:type="dxa"/>
            <w:gridSpan w:val="6"/>
          </w:tcPr>
          <w:p w14:paraId="01C52424" w14:textId="77777777" w:rsidR="00C3121D" w:rsidRPr="00C3121D" w:rsidRDefault="00C3121D" w:rsidP="00C3121D">
            <w:pPr>
              <w:autoSpaceDE w:val="0"/>
              <w:autoSpaceDN w:val="0"/>
              <w:adjustRightInd w:val="0"/>
              <w:spacing w:line="320" w:lineRule="atLeast"/>
              <w:ind w:left="60" w:right="60"/>
              <w:jc w:val="center"/>
              <w:rPr>
                <w:rFonts w:ascii="Times New Roman" w:hAnsi="Times New Roman" w:cs="Times New Roman"/>
                <w:color w:val="010205"/>
                <w:lang w:bidi="km-KH"/>
              </w:rPr>
            </w:pPr>
            <w:r w:rsidRPr="00C3121D">
              <w:rPr>
                <w:rFonts w:ascii="Times New Roman" w:hAnsi="Times New Roman" w:cs="Times New Roman"/>
                <w:b/>
                <w:bCs/>
                <w:color w:val="010205"/>
                <w:lang w:bidi="km-KH"/>
              </w:rPr>
              <w:t>ANOVA</w:t>
            </w:r>
          </w:p>
        </w:tc>
      </w:tr>
      <w:tr w:rsidR="00C3121D" w:rsidRPr="00C3121D" w14:paraId="599DD39A" w14:textId="77777777" w:rsidTr="00C3121D">
        <w:trPr>
          <w:jc w:val="center"/>
        </w:trPr>
        <w:tc>
          <w:tcPr>
            <w:tcW w:w="8185" w:type="dxa"/>
            <w:gridSpan w:val="6"/>
          </w:tcPr>
          <w:p w14:paraId="6C6E2C13" w14:textId="64B232FF" w:rsidR="00C3121D" w:rsidRPr="00C3121D" w:rsidRDefault="000F4FE0" w:rsidP="00C3121D">
            <w:pPr>
              <w:autoSpaceDE w:val="0"/>
              <w:autoSpaceDN w:val="0"/>
              <w:adjustRightInd w:val="0"/>
              <w:spacing w:line="320" w:lineRule="atLeast"/>
              <w:rPr>
                <w:rFonts w:ascii="Times New Roman" w:hAnsi="Times New Roman" w:cs="Times New Roman"/>
                <w:lang w:bidi="km-KH"/>
              </w:rPr>
            </w:pPr>
            <w:r>
              <w:rPr>
                <w:rFonts w:ascii="Times New Roman" w:hAnsi="Times New Roman" w:cs="Times New Roman"/>
                <w:color w:val="010205"/>
                <w:shd w:val="clear" w:color="auto" w:fill="FFFFFF"/>
                <w:lang w:bidi="km-KH"/>
              </w:rPr>
              <w:t>School Health</w:t>
            </w:r>
          </w:p>
        </w:tc>
      </w:tr>
      <w:tr w:rsidR="00C3121D" w:rsidRPr="00C3121D" w14:paraId="0FC93043" w14:textId="77777777" w:rsidTr="00C3121D">
        <w:trPr>
          <w:jc w:val="center"/>
        </w:trPr>
        <w:tc>
          <w:tcPr>
            <w:tcW w:w="1972" w:type="dxa"/>
          </w:tcPr>
          <w:p w14:paraId="16CB9324" w14:textId="77777777" w:rsidR="00C3121D" w:rsidRPr="00C3121D" w:rsidRDefault="00C3121D" w:rsidP="00C3121D">
            <w:pPr>
              <w:autoSpaceDE w:val="0"/>
              <w:autoSpaceDN w:val="0"/>
              <w:adjustRightInd w:val="0"/>
              <w:rPr>
                <w:rFonts w:ascii="Times New Roman" w:hAnsi="Times New Roman" w:cs="Times New Roman"/>
                <w:lang w:bidi="km-KH"/>
              </w:rPr>
            </w:pPr>
          </w:p>
        </w:tc>
        <w:tc>
          <w:tcPr>
            <w:tcW w:w="1468" w:type="dxa"/>
          </w:tcPr>
          <w:p w14:paraId="1AD8778A" w14:textId="77777777" w:rsidR="00C3121D" w:rsidRPr="00C3121D" w:rsidRDefault="00C3121D" w:rsidP="00C3121D">
            <w:pPr>
              <w:autoSpaceDE w:val="0"/>
              <w:autoSpaceDN w:val="0"/>
              <w:adjustRightInd w:val="0"/>
              <w:spacing w:line="320" w:lineRule="atLeast"/>
              <w:ind w:left="60" w:right="60"/>
              <w:jc w:val="center"/>
              <w:rPr>
                <w:rFonts w:ascii="Times New Roman" w:hAnsi="Times New Roman" w:cs="Times New Roman"/>
                <w:color w:val="264A60"/>
                <w:lang w:bidi="km-KH"/>
              </w:rPr>
            </w:pPr>
            <w:r w:rsidRPr="00C3121D">
              <w:rPr>
                <w:rFonts w:ascii="Times New Roman" w:hAnsi="Times New Roman" w:cs="Times New Roman"/>
                <w:color w:val="264A60"/>
                <w:lang w:bidi="km-KH"/>
              </w:rPr>
              <w:t>Sum of Squares</w:t>
            </w:r>
          </w:p>
        </w:tc>
        <w:tc>
          <w:tcPr>
            <w:tcW w:w="1025" w:type="dxa"/>
          </w:tcPr>
          <w:p w14:paraId="7D6EAA18" w14:textId="77777777" w:rsidR="00C3121D" w:rsidRPr="00C3121D" w:rsidRDefault="00C3121D" w:rsidP="00C3121D">
            <w:pPr>
              <w:autoSpaceDE w:val="0"/>
              <w:autoSpaceDN w:val="0"/>
              <w:adjustRightInd w:val="0"/>
              <w:spacing w:line="320" w:lineRule="atLeast"/>
              <w:ind w:left="60" w:right="60"/>
              <w:jc w:val="center"/>
              <w:rPr>
                <w:rFonts w:ascii="Times New Roman" w:hAnsi="Times New Roman" w:cs="Times New Roman"/>
                <w:color w:val="264A60"/>
                <w:lang w:bidi="km-KH"/>
              </w:rPr>
            </w:pPr>
            <w:proofErr w:type="spellStart"/>
            <w:r w:rsidRPr="00C3121D">
              <w:rPr>
                <w:rFonts w:ascii="Times New Roman" w:hAnsi="Times New Roman" w:cs="Times New Roman"/>
                <w:color w:val="264A60"/>
                <w:lang w:bidi="km-KH"/>
              </w:rPr>
              <w:t>df</w:t>
            </w:r>
            <w:proofErr w:type="spellEnd"/>
          </w:p>
        </w:tc>
        <w:tc>
          <w:tcPr>
            <w:tcW w:w="1408" w:type="dxa"/>
          </w:tcPr>
          <w:p w14:paraId="19804711" w14:textId="77777777" w:rsidR="00C3121D" w:rsidRPr="00C3121D" w:rsidRDefault="00C3121D" w:rsidP="00C3121D">
            <w:pPr>
              <w:autoSpaceDE w:val="0"/>
              <w:autoSpaceDN w:val="0"/>
              <w:adjustRightInd w:val="0"/>
              <w:spacing w:line="320" w:lineRule="atLeast"/>
              <w:ind w:left="60" w:right="60"/>
              <w:jc w:val="center"/>
              <w:rPr>
                <w:rFonts w:ascii="Times New Roman" w:hAnsi="Times New Roman" w:cs="Times New Roman"/>
                <w:color w:val="264A60"/>
                <w:lang w:bidi="km-KH"/>
              </w:rPr>
            </w:pPr>
            <w:r w:rsidRPr="00C3121D">
              <w:rPr>
                <w:rFonts w:ascii="Times New Roman" w:hAnsi="Times New Roman" w:cs="Times New Roman"/>
                <w:color w:val="264A60"/>
                <w:lang w:bidi="km-KH"/>
              </w:rPr>
              <w:t>Mean Square</w:t>
            </w:r>
          </w:p>
        </w:tc>
        <w:tc>
          <w:tcPr>
            <w:tcW w:w="1025" w:type="dxa"/>
          </w:tcPr>
          <w:p w14:paraId="693323D3" w14:textId="77777777" w:rsidR="00C3121D" w:rsidRPr="00C3121D" w:rsidRDefault="00C3121D" w:rsidP="00C3121D">
            <w:pPr>
              <w:autoSpaceDE w:val="0"/>
              <w:autoSpaceDN w:val="0"/>
              <w:adjustRightInd w:val="0"/>
              <w:spacing w:line="320" w:lineRule="atLeast"/>
              <w:ind w:left="60" w:right="60"/>
              <w:jc w:val="center"/>
              <w:rPr>
                <w:rFonts w:ascii="Times New Roman" w:hAnsi="Times New Roman" w:cs="Times New Roman"/>
                <w:color w:val="264A60"/>
                <w:lang w:bidi="km-KH"/>
              </w:rPr>
            </w:pPr>
            <w:r w:rsidRPr="00C3121D">
              <w:rPr>
                <w:rFonts w:ascii="Times New Roman" w:hAnsi="Times New Roman" w:cs="Times New Roman"/>
                <w:color w:val="264A60"/>
                <w:lang w:bidi="km-KH"/>
              </w:rPr>
              <w:t>F</w:t>
            </w:r>
          </w:p>
        </w:tc>
        <w:tc>
          <w:tcPr>
            <w:tcW w:w="1287" w:type="dxa"/>
          </w:tcPr>
          <w:p w14:paraId="69F24EE2" w14:textId="77777777" w:rsidR="00C3121D" w:rsidRPr="00C3121D" w:rsidRDefault="00C3121D" w:rsidP="00C3121D">
            <w:pPr>
              <w:autoSpaceDE w:val="0"/>
              <w:autoSpaceDN w:val="0"/>
              <w:adjustRightInd w:val="0"/>
              <w:spacing w:line="320" w:lineRule="atLeast"/>
              <w:ind w:left="60" w:right="60"/>
              <w:jc w:val="center"/>
              <w:rPr>
                <w:rFonts w:ascii="Times New Roman" w:hAnsi="Times New Roman" w:cs="Times New Roman"/>
                <w:color w:val="264A60"/>
                <w:lang w:bidi="km-KH"/>
              </w:rPr>
            </w:pPr>
            <w:r w:rsidRPr="00C3121D">
              <w:rPr>
                <w:rFonts w:ascii="Times New Roman" w:hAnsi="Times New Roman" w:cs="Times New Roman"/>
                <w:color w:val="264A60"/>
                <w:lang w:bidi="km-KH"/>
              </w:rPr>
              <w:t>Sig.</w:t>
            </w:r>
          </w:p>
        </w:tc>
      </w:tr>
      <w:tr w:rsidR="00C3121D" w:rsidRPr="00C3121D" w14:paraId="0C470FF6" w14:textId="77777777" w:rsidTr="00C3121D">
        <w:trPr>
          <w:jc w:val="center"/>
        </w:trPr>
        <w:tc>
          <w:tcPr>
            <w:tcW w:w="1972" w:type="dxa"/>
          </w:tcPr>
          <w:p w14:paraId="344D2CFE" w14:textId="77777777" w:rsidR="00C3121D" w:rsidRPr="00C3121D" w:rsidRDefault="00C3121D" w:rsidP="00C3121D">
            <w:pPr>
              <w:autoSpaceDE w:val="0"/>
              <w:autoSpaceDN w:val="0"/>
              <w:adjustRightInd w:val="0"/>
              <w:spacing w:line="320" w:lineRule="atLeast"/>
              <w:ind w:left="60" w:right="60"/>
              <w:rPr>
                <w:rFonts w:ascii="Times New Roman" w:hAnsi="Times New Roman" w:cs="Times New Roman"/>
                <w:color w:val="264A60"/>
                <w:lang w:bidi="km-KH"/>
              </w:rPr>
            </w:pPr>
            <w:r w:rsidRPr="00C3121D">
              <w:rPr>
                <w:rFonts w:ascii="Times New Roman" w:hAnsi="Times New Roman" w:cs="Times New Roman"/>
                <w:color w:val="264A60"/>
                <w:lang w:bidi="km-KH"/>
              </w:rPr>
              <w:t>Between Groups</w:t>
            </w:r>
          </w:p>
        </w:tc>
        <w:tc>
          <w:tcPr>
            <w:tcW w:w="1468" w:type="dxa"/>
          </w:tcPr>
          <w:p w14:paraId="0FC3DE06"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.196</w:t>
            </w:r>
          </w:p>
        </w:tc>
        <w:tc>
          <w:tcPr>
            <w:tcW w:w="1025" w:type="dxa"/>
          </w:tcPr>
          <w:p w14:paraId="6829462C"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2</w:t>
            </w:r>
          </w:p>
        </w:tc>
        <w:tc>
          <w:tcPr>
            <w:tcW w:w="1408" w:type="dxa"/>
          </w:tcPr>
          <w:p w14:paraId="1275F674"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.098</w:t>
            </w:r>
          </w:p>
        </w:tc>
        <w:tc>
          <w:tcPr>
            <w:tcW w:w="1025" w:type="dxa"/>
          </w:tcPr>
          <w:p w14:paraId="527C8C44"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.587</w:t>
            </w:r>
          </w:p>
        </w:tc>
        <w:tc>
          <w:tcPr>
            <w:tcW w:w="1287" w:type="dxa"/>
          </w:tcPr>
          <w:p w14:paraId="0F1DFB86"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.556</w:t>
            </w:r>
          </w:p>
        </w:tc>
      </w:tr>
      <w:tr w:rsidR="00C3121D" w:rsidRPr="00C3121D" w14:paraId="4B4F411B" w14:textId="77777777" w:rsidTr="00C3121D">
        <w:trPr>
          <w:jc w:val="center"/>
        </w:trPr>
        <w:tc>
          <w:tcPr>
            <w:tcW w:w="1972" w:type="dxa"/>
          </w:tcPr>
          <w:p w14:paraId="1D3C0066" w14:textId="77777777" w:rsidR="00C3121D" w:rsidRPr="00C3121D" w:rsidRDefault="00C3121D" w:rsidP="00C3121D">
            <w:pPr>
              <w:autoSpaceDE w:val="0"/>
              <w:autoSpaceDN w:val="0"/>
              <w:adjustRightInd w:val="0"/>
              <w:spacing w:line="320" w:lineRule="atLeast"/>
              <w:ind w:left="60" w:right="60"/>
              <w:rPr>
                <w:rFonts w:ascii="Times New Roman" w:hAnsi="Times New Roman" w:cs="Times New Roman"/>
                <w:color w:val="264A60"/>
                <w:lang w:bidi="km-KH"/>
              </w:rPr>
            </w:pPr>
            <w:r w:rsidRPr="00C3121D">
              <w:rPr>
                <w:rFonts w:ascii="Times New Roman" w:hAnsi="Times New Roman" w:cs="Times New Roman"/>
                <w:color w:val="264A60"/>
                <w:lang w:bidi="km-KH"/>
              </w:rPr>
              <w:t>Within Groups</w:t>
            </w:r>
          </w:p>
        </w:tc>
        <w:tc>
          <w:tcPr>
            <w:tcW w:w="1468" w:type="dxa"/>
          </w:tcPr>
          <w:p w14:paraId="21E80D17"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67.451</w:t>
            </w:r>
          </w:p>
        </w:tc>
        <w:tc>
          <w:tcPr>
            <w:tcW w:w="1025" w:type="dxa"/>
          </w:tcPr>
          <w:p w14:paraId="5E4B027F"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405</w:t>
            </w:r>
          </w:p>
        </w:tc>
        <w:tc>
          <w:tcPr>
            <w:tcW w:w="1408" w:type="dxa"/>
          </w:tcPr>
          <w:p w14:paraId="7EABA57D"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.167</w:t>
            </w:r>
          </w:p>
        </w:tc>
        <w:tc>
          <w:tcPr>
            <w:tcW w:w="1025" w:type="dxa"/>
          </w:tcPr>
          <w:p w14:paraId="19F8A712" w14:textId="77777777" w:rsidR="00C3121D" w:rsidRPr="00C3121D" w:rsidRDefault="00C3121D" w:rsidP="00C3121D">
            <w:pPr>
              <w:autoSpaceDE w:val="0"/>
              <w:autoSpaceDN w:val="0"/>
              <w:adjustRightInd w:val="0"/>
              <w:rPr>
                <w:rFonts w:ascii="Times New Roman" w:hAnsi="Times New Roman" w:cs="Times New Roman"/>
                <w:lang w:bidi="km-KH"/>
              </w:rPr>
            </w:pPr>
          </w:p>
        </w:tc>
        <w:tc>
          <w:tcPr>
            <w:tcW w:w="1287" w:type="dxa"/>
          </w:tcPr>
          <w:p w14:paraId="732E1E59" w14:textId="77777777" w:rsidR="00C3121D" w:rsidRPr="00C3121D" w:rsidRDefault="00C3121D" w:rsidP="00C3121D">
            <w:pPr>
              <w:autoSpaceDE w:val="0"/>
              <w:autoSpaceDN w:val="0"/>
              <w:adjustRightInd w:val="0"/>
              <w:rPr>
                <w:rFonts w:ascii="Times New Roman" w:hAnsi="Times New Roman" w:cs="Times New Roman"/>
                <w:lang w:bidi="km-KH"/>
              </w:rPr>
            </w:pPr>
          </w:p>
        </w:tc>
      </w:tr>
      <w:tr w:rsidR="00C3121D" w:rsidRPr="00C3121D" w14:paraId="135AA01B" w14:textId="77777777" w:rsidTr="00C3121D">
        <w:trPr>
          <w:jc w:val="center"/>
        </w:trPr>
        <w:tc>
          <w:tcPr>
            <w:tcW w:w="1972" w:type="dxa"/>
          </w:tcPr>
          <w:p w14:paraId="3A817D8E" w14:textId="77777777" w:rsidR="00C3121D" w:rsidRPr="00C3121D" w:rsidRDefault="00C3121D" w:rsidP="00C3121D">
            <w:pPr>
              <w:autoSpaceDE w:val="0"/>
              <w:autoSpaceDN w:val="0"/>
              <w:adjustRightInd w:val="0"/>
              <w:spacing w:line="320" w:lineRule="atLeast"/>
              <w:ind w:left="60" w:right="60"/>
              <w:rPr>
                <w:rFonts w:ascii="Times New Roman" w:hAnsi="Times New Roman" w:cs="Times New Roman"/>
                <w:color w:val="264A60"/>
                <w:lang w:bidi="km-KH"/>
              </w:rPr>
            </w:pPr>
            <w:r w:rsidRPr="00C3121D">
              <w:rPr>
                <w:rFonts w:ascii="Times New Roman" w:hAnsi="Times New Roman" w:cs="Times New Roman"/>
                <w:color w:val="264A60"/>
                <w:lang w:bidi="km-KH"/>
              </w:rPr>
              <w:t>Total</w:t>
            </w:r>
          </w:p>
        </w:tc>
        <w:tc>
          <w:tcPr>
            <w:tcW w:w="1468" w:type="dxa"/>
          </w:tcPr>
          <w:p w14:paraId="14BA74C6"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67.647</w:t>
            </w:r>
          </w:p>
        </w:tc>
        <w:tc>
          <w:tcPr>
            <w:tcW w:w="1025" w:type="dxa"/>
          </w:tcPr>
          <w:p w14:paraId="501E8EA5" w14:textId="77777777" w:rsidR="00C3121D" w:rsidRPr="00C3121D" w:rsidRDefault="00C3121D" w:rsidP="00C3121D">
            <w:pPr>
              <w:autoSpaceDE w:val="0"/>
              <w:autoSpaceDN w:val="0"/>
              <w:adjustRightInd w:val="0"/>
              <w:spacing w:line="320" w:lineRule="atLeast"/>
              <w:ind w:left="60" w:right="60"/>
              <w:jc w:val="right"/>
              <w:rPr>
                <w:rFonts w:ascii="Times New Roman" w:hAnsi="Times New Roman" w:cs="Times New Roman"/>
                <w:color w:val="010205"/>
                <w:lang w:bidi="km-KH"/>
              </w:rPr>
            </w:pPr>
            <w:r w:rsidRPr="00C3121D">
              <w:rPr>
                <w:rFonts w:ascii="Times New Roman" w:hAnsi="Times New Roman" w:cs="Times New Roman"/>
                <w:color w:val="010205"/>
                <w:lang w:bidi="km-KH"/>
              </w:rPr>
              <w:t>407</w:t>
            </w:r>
          </w:p>
        </w:tc>
        <w:tc>
          <w:tcPr>
            <w:tcW w:w="1408" w:type="dxa"/>
          </w:tcPr>
          <w:p w14:paraId="3F532B0E" w14:textId="77777777" w:rsidR="00C3121D" w:rsidRPr="00C3121D" w:rsidRDefault="00C3121D" w:rsidP="00C3121D">
            <w:pPr>
              <w:autoSpaceDE w:val="0"/>
              <w:autoSpaceDN w:val="0"/>
              <w:adjustRightInd w:val="0"/>
              <w:rPr>
                <w:rFonts w:ascii="Times New Roman" w:hAnsi="Times New Roman" w:cs="Times New Roman"/>
                <w:lang w:bidi="km-KH"/>
              </w:rPr>
            </w:pPr>
          </w:p>
        </w:tc>
        <w:tc>
          <w:tcPr>
            <w:tcW w:w="1025" w:type="dxa"/>
          </w:tcPr>
          <w:p w14:paraId="74A78D20" w14:textId="77777777" w:rsidR="00C3121D" w:rsidRPr="00C3121D" w:rsidRDefault="00C3121D" w:rsidP="00C3121D">
            <w:pPr>
              <w:autoSpaceDE w:val="0"/>
              <w:autoSpaceDN w:val="0"/>
              <w:adjustRightInd w:val="0"/>
              <w:rPr>
                <w:rFonts w:ascii="Times New Roman" w:hAnsi="Times New Roman" w:cs="Times New Roman"/>
                <w:lang w:bidi="km-KH"/>
              </w:rPr>
            </w:pPr>
          </w:p>
        </w:tc>
        <w:tc>
          <w:tcPr>
            <w:tcW w:w="1287" w:type="dxa"/>
          </w:tcPr>
          <w:p w14:paraId="5ADE0B0C" w14:textId="77777777" w:rsidR="00C3121D" w:rsidRPr="00C3121D" w:rsidRDefault="00C3121D" w:rsidP="00C3121D">
            <w:pPr>
              <w:autoSpaceDE w:val="0"/>
              <w:autoSpaceDN w:val="0"/>
              <w:adjustRightInd w:val="0"/>
              <w:rPr>
                <w:rFonts w:ascii="Times New Roman" w:hAnsi="Times New Roman" w:cs="Times New Roman"/>
                <w:lang w:bidi="km-KH"/>
              </w:rPr>
            </w:pPr>
          </w:p>
        </w:tc>
      </w:tr>
    </w:tbl>
    <w:p w14:paraId="423DE1C2" w14:textId="706F4534" w:rsidR="00E17553" w:rsidRDefault="007F0C20" w:rsidP="00E17553">
      <w:pPr>
        <w:autoSpaceDE w:val="0"/>
        <w:autoSpaceDN w:val="0"/>
        <w:adjustRightInd w:val="0"/>
        <w:spacing w:after="0" w:line="400" w:lineRule="atLeast"/>
        <w:rPr>
          <w:rFonts w:ascii="Times New Roman" w:hAnsi="Times New Roman" w:cs="Times New Roman"/>
          <w:sz w:val="24"/>
          <w:szCs w:val="24"/>
          <w:lang w:bidi="km-KH"/>
        </w:rPr>
      </w:pPr>
      <w:r>
        <w:rPr>
          <w:rFonts w:ascii="Times New Roman" w:hAnsi="Times New Roman" w:cs="Times New Roman"/>
          <w:sz w:val="24"/>
          <w:szCs w:val="24"/>
          <w:lang w:bidi="km-KH"/>
        </w:rPr>
        <w:t>We found not statistically significant differences among students’ family status in terms of school health with F (2,</w:t>
      </w:r>
      <w:r w:rsidR="003E0C74">
        <w:rPr>
          <w:rFonts w:ascii="Times New Roman" w:hAnsi="Times New Roman" w:cs="Times New Roman"/>
          <w:sz w:val="24"/>
          <w:szCs w:val="24"/>
          <w:lang w:bidi="km-KH"/>
        </w:rPr>
        <w:t xml:space="preserve"> 405) =</w:t>
      </w:r>
      <w:r>
        <w:rPr>
          <w:rFonts w:ascii="Times New Roman" w:hAnsi="Times New Roman" w:cs="Times New Roman"/>
          <w:sz w:val="24"/>
          <w:szCs w:val="24"/>
          <w:lang w:bidi="km-KH"/>
        </w:rPr>
        <w:t>.587, P=.556 &gt;.05</w:t>
      </w:r>
      <w:r w:rsidR="00230436">
        <w:rPr>
          <w:rFonts w:ascii="Times New Roman" w:hAnsi="Times New Roman" w:cs="Times New Roman"/>
          <w:sz w:val="24"/>
          <w:szCs w:val="24"/>
          <w:lang w:bidi="km-KH"/>
        </w:rPr>
        <w:t xml:space="preserve"> as illustrated in </w:t>
      </w:r>
      <w:r w:rsidR="00230436" w:rsidRPr="00230436">
        <w:rPr>
          <w:rFonts w:ascii="Times New Roman" w:hAnsi="Times New Roman" w:cs="Times New Roman"/>
          <w:b/>
          <w:bCs/>
          <w:sz w:val="24"/>
          <w:szCs w:val="24"/>
          <w:lang w:bidi="km-KH"/>
        </w:rPr>
        <w:t xml:space="preserve">Table </w:t>
      </w:r>
      <w:r w:rsidR="00A02AD5">
        <w:rPr>
          <w:rFonts w:ascii="Times New Roman" w:hAnsi="Times New Roman" w:cs="Times New Roman"/>
          <w:b/>
          <w:bCs/>
          <w:sz w:val="24"/>
          <w:szCs w:val="24"/>
          <w:lang w:bidi="km-KH"/>
        </w:rPr>
        <w:t>2</w:t>
      </w:r>
      <w:r w:rsidR="003E0C74">
        <w:rPr>
          <w:rFonts w:ascii="Times New Roman" w:hAnsi="Times New Roman" w:cs="Times New Roman"/>
          <w:sz w:val="24"/>
          <w:szCs w:val="24"/>
          <w:lang w:bidi="km-KH"/>
        </w:rPr>
        <w:t xml:space="preserve">. This means that Hypothesis 2 was not supported. </w:t>
      </w:r>
    </w:p>
    <w:p w14:paraId="6E004E0E" w14:textId="77777777" w:rsidR="00CD5B5E" w:rsidRDefault="00CD5B5E" w:rsidP="00E17553">
      <w:pPr>
        <w:autoSpaceDE w:val="0"/>
        <w:autoSpaceDN w:val="0"/>
        <w:adjustRightInd w:val="0"/>
        <w:spacing w:after="0" w:line="400" w:lineRule="atLeast"/>
        <w:rPr>
          <w:rFonts w:ascii="Times New Roman" w:hAnsi="Times New Roman" w:cs="Times New Roman"/>
          <w:sz w:val="24"/>
          <w:szCs w:val="24"/>
          <w:lang w:bidi="km-KH"/>
        </w:rPr>
      </w:pPr>
    </w:p>
    <w:p w14:paraId="6B0FCBC9" w14:textId="1C450223" w:rsidR="00574362" w:rsidRPr="00574362" w:rsidRDefault="0052779A" w:rsidP="00230436">
      <w:pPr>
        <w:spacing w:line="360" w:lineRule="auto"/>
        <w:jc w:val="both"/>
        <w:rPr>
          <w:rFonts w:ascii="Times New Roman" w:hAnsi="Times New Roman" w:cs="Times New Roman"/>
          <w:sz w:val="24"/>
          <w:szCs w:val="24"/>
        </w:rPr>
      </w:pPr>
      <w:r w:rsidRPr="00C044F7">
        <w:rPr>
          <w:rFonts w:ascii="Times New Roman" w:hAnsi="Times New Roman" w:cs="Times New Roman"/>
          <w:b/>
          <w:bCs/>
          <w:sz w:val="24"/>
          <w:szCs w:val="24"/>
        </w:rPr>
        <w:t>Hypothesis 3:</w:t>
      </w:r>
      <w:r>
        <w:rPr>
          <w:rFonts w:ascii="Times New Roman" w:hAnsi="Times New Roman" w:cs="Times New Roman"/>
          <w:sz w:val="24"/>
          <w:szCs w:val="24"/>
        </w:rPr>
        <w:t xml:space="preserve"> There are different perception</w:t>
      </w:r>
      <w:r w:rsidR="00560FE6">
        <w:rPr>
          <w:rFonts w:ascii="Times New Roman" w:hAnsi="Times New Roman" w:cs="Times New Roman"/>
          <w:sz w:val="24"/>
          <w:szCs w:val="24"/>
        </w:rPr>
        <w:t>s</w:t>
      </w:r>
      <w:r>
        <w:rPr>
          <w:rFonts w:ascii="Times New Roman" w:hAnsi="Times New Roman" w:cs="Times New Roman"/>
          <w:sz w:val="24"/>
          <w:szCs w:val="24"/>
        </w:rPr>
        <w:t xml:space="preserve"> of school health among students’ age cohort.</w:t>
      </w:r>
    </w:p>
    <w:p w14:paraId="33B36870" w14:textId="7517D2E8" w:rsidR="0014541E" w:rsidRPr="0014541E" w:rsidRDefault="00230436" w:rsidP="00230436">
      <w:pPr>
        <w:autoSpaceDE w:val="0"/>
        <w:autoSpaceDN w:val="0"/>
        <w:adjustRightInd w:val="0"/>
        <w:spacing w:after="0" w:line="240" w:lineRule="auto"/>
        <w:jc w:val="center"/>
        <w:rPr>
          <w:rFonts w:ascii="Times New Roman" w:hAnsi="Times New Roman" w:cs="Times New Roman"/>
          <w:sz w:val="24"/>
          <w:szCs w:val="24"/>
          <w:lang w:bidi="km-KH"/>
        </w:rPr>
      </w:pPr>
      <w:r>
        <w:rPr>
          <w:rFonts w:ascii="Times New Roman" w:hAnsi="Times New Roman" w:cs="Times New Roman"/>
          <w:sz w:val="24"/>
          <w:szCs w:val="24"/>
          <w:lang w:bidi="km-KH"/>
        </w:rPr>
        <w:t xml:space="preserve">Table </w:t>
      </w:r>
      <w:r w:rsidR="00CD5B5E">
        <w:rPr>
          <w:rFonts w:ascii="Times New Roman" w:hAnsi="Times New Roman" w:cs="Times New Roman"/>
          <w:sz w:val="24"/>
          <w:szCs w:val="24"/>
          <w:lang w:bidi="km-KH"/>
        </w:rPr>
        <w:t>3</w:t>
      </w:r>
      <w:r>
        <w:rPr>
          <w:rFonts w:ascii="Times New Roman" w:hAnsi="Times New Roman" w:cs="Times New Roman"/>
          <w:sz w:val="24"/>
          <w:szCs w:val="24"/>
          <w:lang w:bidi="km-KH"/>
        </w:rPr>
        <w:t>. One-Way ANOVA for Hypothesis 3</w:t>
      </w:r>
    </w:p>
    <w:tbl>
      <w:tblPr>
        <w:tblStyle w:val="TableGrid"/>
        <w:tblW w:w="8365" w:type="dxa"/>
        <w:tblLayout w:type="fixed"/>
        <w:tblLook w:val="0000" w:firstRow="0" w:lastRow="0" w:firstColumn="0" w:lastColumn="0" w:noHBand="0" w:noVBand="0"/>
      </w:tblPr>
      <w:tblGrid>
        <w:gridCol w:w="1885"/>
        <w:gridCol w:w="1890"/>
        <w:gridCol w:w="1170"/>
        <w:gridCol w:w="1530"/>
        <w:gridCol w:w="810"/>
        <w:gridCol w:w="1080"/>
      </w:tblGrid>
      <w:tr w:rsidR="0014541E" w:rsidRPr="0014541E" w14:paraId="7BFD8C96" w14:textId="77777777" w:rsidTr="0014541E">
        <w:tc>
          <w:tcPr>
            <w:tcW w:w="8365" w:type="dxa"/>
            <w:gridSpan w:val="6"/>
          </w:tcPr>
          <w:p w14:paraId="04BA5939" w14:textId="77777777" w:rsidR="0014541E" w:rsidRPr="0014541E" w:rsidRDefault="0014541E" w:rsidP="0014541E">
            <w:pPr>
              <w:autoSpaceDE w:val="0"/>
              <w:autoSpaceDN w:val="0"/>
              <w:adjustRightInd w:val="0"/>
              <w:spacing w:line="320" w:lineRule="atLeast"/>
              <w:ind w:left="60" w:right="60"/>
              <w:jc w:val="center"/>
              <w:rPr>
                <w:rFonts w:ascii="Times New Roman" w:hAnsi="Times New Roman" w:cs="Times New Roman"/>
                <w:color w:val="010205"/>
                <w:lang w:bidi="km-KH"/>
              </w:rPr>
            </w:pPr>
            <w:r w:rsidRPr="0014541E">
              <w:rPr>
                <w:rFonts w:ascii="Times New Roman" w:hAnsi="Times New Roman" w:cs="Times New Roman"/>
                <w:b/>
                <w:bCs/>
                <w:color w:val="010205"/>
                <w:lang w:bidi="km-KH"/>
              </w:rPr>
              <w:t>ANOVA</w:t>
            </w:r>
          </w:p>
        </w:tc>
      </w:tr>
      <w:tr w:rsidR="0014541E" w:rsidRPr="0014541E" w14:paraId="3873698C" w14:textId="77777777" w:rsidTr="0014541E">
        <w:tc>
          <w:tcPr>
            <w:tcW w:w="8365" w:type="dxa"/>
            <w:gridSpan w:val="6"/>
          </w:tcPr>
          <w:p w14:paraId="49074F20" w14:textId="447578AF" w:rsidR="0014541E" w:rsidRPr="0014541E" w:rsidRDefault="0099483A" w:rsidP="0014541E">
            <w:pPr>
              <w:autoSpaceDE w:val="0"/>
              <w:autoSpaceDN w:val="0"/>
              <w:adjustRightInd w:val="0"/>
              <w:spacing w:line="320" w:lineRule="atLeast"/>
              <w:rPr>
                <w:rFonts w:ascii="Times New Roman" w:hAnsi="Times New Roman" w:cs="Times New Roman"/>
                <w:lang w:bidi="km-KH"/>
              </w:rPr>
            </w:pPr>
            <w:r>
              <w:rPr>
                <w:rFonts w:ascii="Times New Roman" w:hAnsi="Times New Roman" w:cs="Times New Roman"/>
                <w:color w:val="010205"/>
                <w:shd w:val="clear" w:color="auto" w:fill="FFFFFF"/>
                <w:lang w:bidi="km-KH"/>
              </w:rPr>
              <w:t>School Health</w:t>
            </w:r>
          </w:p>
        </w:tc>
      </w:tr>
      <w:tr w:rsidR="0014541E" w:rsidRPr="0014541E" w14:paraId="26727466" w14:textId="77777777" w:rsidTr="0014541E">
        <w:tc>
          <w:tcPr>
            <w:tcW w:w="1885" w:type="dxa"/>
          </w:tcPr>
          <w:p w14:paraId="3EA5016B" w14:textId="77777777" w:rsidR="0014541E" w:rsidRPr="0014541E" w:rsidRDefault="0014541E" w:rsidP="0014541E">
            <w:pPr>
              <w:autoSpaceDE w:val="0"/>
              <w:autoSpaceDN w:val="0"/>
              <w:adjustRightInd w:val="0"/>
              <w:rPr>
                <w:rFonts w:ascii="Times New Roman" w:hAnsi="Times New Roman" w:cs="Times New Roman"/>
                <w:lang w:bidi="km-KH"/>
              </w:rPr>
            </w:pPr>
          </w:p>
        </w:tc>
        <w:tc>
          <w:tcPr>
            <w:tcW w:w="1890" w:type="dxa"/>
          </w:tcPr>
          <w:p w14:paraId="5B342C61" w14:textId="77777777" w:rsidR="0014541E" w:rsidRPr="0014541E" w:rsidRDefault="0014541E" w:rsidP="0014541E">
            <w:pPr>
              <w:autoSpaceDE w:val="0"/>
              <w:autoSpaceDN w:val="0"/>
              <w:adjustRightInd w:val="0"/>
              <w:spacing w:line="320" w:lineRule="atLeast"/>
              <w:ind w:left="60" w:right="60"/>
              <w:jc w:val="center"/>
              <w:rPr>
                <w:rFonts w:ascii="Times New Roman" w:hAnsi="Times New Roman" w:cs="Times New Roman"/>
                <w:color w:val="264A60"/>
                <w:lang w:bidi="km-KH"/>
              </w:rPr>
            </w:pPr>
            <w:r w:rsidRPr="0014541E">
              <w:rPr>
                <w:rFonts w:ascii="Times New Roman" w:hAnsi="Times New Roman" w:cs="Times New Roman"/>
                <w:color w:val="264A60"/>
                <w:lang w:bidi="km-KH"/>
              </w:rPr>
              <w:t>Sum of Squares</w:t>
            </w:r>
          </w:p>
        </w:tc>
        <w:tc>
          <w:tcPr>
            <w:tcW w:w="1170" w:type="dxa"/>
          </w:tcPr>
          <w:p w14:paraId="7B975C27" w14:textId="77777777" w:rsidR="0014541E" w:rsidRPr="0014541E" w:rsidRDefault="0014541E" w:rsidP="0014541E">
            <w:pPr>
              <w:autoSpaceDE w:val="0"/>
              <w:autoSpaceDN w:val="0"/>
              <w:adjustRightInd w:val="0"/>
              <w:spacing w:line="320" w:lineRule="atLeast"/>
              <w:ind w:left="60" w:right="60"/>
              <w:jc w:val="center"/>
              <w:rPr>
                <w:rFonts w:ascii="Times New Roman" w:hAnsi="Times New Roman" w:cs="Times New Roman"/>
                <w:color w:val="264A60"/>
                <w:lang w:bidi="km-KH"/>
              </w:rPr>
            </w:pPr>
            <w:proofErr w:type="spellStart"/>
            <w:r w:rsidRPr="0014541E">
              <w:rPr>
                <w:rFonts w:ascii="Times New Roman" w:hAnsi="Times New Roman" w:cs="Times New Roman"/>
                <w:color w:val="264A60"/>
                <w:lang w:bidi="km-KH"/>
              </w:rPr>
              <w:t>df</w:t>
            </w:r>
            <w:proofErr w:type="spellEnd"/>
          </w:p>
        </w:tc>
        <w:tc>
          <w:tcPr>
            <w:tcW w:w="1530" w:type="dxa"/>
          </w:tcPr>
          <w:p w14:paraId="78B738FA" w14:textId="77777777" w:rsidR="0014541E" w:rsidRPr="0014541E" w:rsidRDefault="0014541E" w:rsidP="0014541E">
            <w:pPr>
              <w:autoSpaceDE w:val="0"/>
              <w:autoSpaceDN w:val="0"/>
              <w:adjustRightInd w:val="0"/>
              <w:spacing w:line="320" w:lineRule="atLeast"/>
              <w:ind w:left="60" w:right="60"/>
              <w:jc w:val="center"/>
              <w:rPr>
                <w:rFonts w:ascii="Times New Roman" w:hAnsi="Times New Roman" w:cs="Times New Roman"/>
                <w:color w:val="264A60"/>
                <w:lang w:bidi="km-KH"/>
              </w:rPr>
            </w:pPr>
            <w:r w:rsidRPr="0014541E">
              <w:rPr>
                <w:rFonts w:ascii="Times New Roman" w:hAnsi="Times New Roman" w:cs="Times New Roman"/>
                <w:color w:val="264A60"/>
                <w:lang w:bidi="km-KH"/>
              </w:rPr>
              <w:t>Mean Square</w:t>
            </w:r>
          </w:p>
        </w:tc>
        <w:tc>
          <w:tcPr>
            <w:tcW w:w="810" w:type="dxa"/>
          </w:tcPr>
          <w:p w14:paraId="2811D5EB" w14:textId="77777777" w:rsidR="0014541E" w:rsidRPr="0014541E" w:rsidRDefault="0014541E" w:rsidP="0014541E">
            <w:pPr>
              <w:autoSpaceDE w:val="0"/>
              <w:autoSpaceDN w:val="0"/>
              <w:adjustRightInd w:val="0"/>
              <w:spacing w:line="320" w:lineRule="atLeast"/>
              <w:ind w:left="60" w:right="60"/>
              <w:jc w:val="center"/>
              <w:rPr>
                <w:rFonts w:ascii="Times New Roman" w:hAnsi="Times New Roman" w:cs="Times New Roman"/>
                <w:color w:val="264A60"/>
                <w:lang w:bidi="km-KH"/>
              </w:rPr>
            </w:pPr>
            <w:r w:rsidRPr="0014541E">
              <w:rPr>
                <w:rFonts w:ascii="Times New Roman" w:hAnsi="Times New Roman" w:cs="Times New Roman"/>
                <w:color w:val="264A60"/>
                <w:lang w:bidi="km-KH"/>
              </w:rPr>
              <w:t>F</w:t>
            </w:r>
          </w:p>
        </w:tc>
        <w:tc>
          <w:tcPr>
            <w:tcW w:w="1080" w:type="dxa"/>
          </w:tcPr>
          <w:p w14:paraId="4F485F07" w14:textId="77777777" w:rsidR="0014541E" w:rsidRPr="0014541E" w:rsidRDefault="0014541E" w:rsidP="0014541E">
            <w:pPr>
              <w:autoSpaceDE w:val="0"/>
              <w:autoSpaceDN w:val="0"/>
              <w:adjustRightInd w:val="0"/>
              <w:spacing w:line="320" w:lineRule="atLeast"/>
              <w:ind w:left="60" w:right="60"/>
              <w:jc w:val="center"/>
              <w:rPr>
                <w:rFonts w:ascii="Times New Roman" w:hAnsi="Times New Roman" w:cs="Times New Roman"/>
                <w:color w:val="264A60"/>
                <w:lang w:bidi="km-KH"/>
              </w:rPr>
            </w:pPr>
            <w:r w:rsidRPr="0014541E">
              <w:rPr>
                <w:rFonts w:ascii="Times New Roman" w:hAnsi="Times New Roman" w:cs="Times New Roman"/>
                <w:color w:val="264A60"/>
                <w:lang w:bidi="km-KH"/>
              </w:rPr>
              <w:t>Sig.</w:t>
            </w:r>
          </w:p>
        </w:tc>
      </w:tr>
      <w:tr w:rsidR="0014541E" w:rsidRPr="0014541E" w14:paraId="4CD85C24" w14:textId="77777777" w:rsidTr="0014541E">
        <w:tc>
          <w:tcPr>
            <w:tcW w:w="1885" w:type="dxa"/>
          </w:tcPr>
          <w:p w14:paraId="0FE83344" w14:textId="77777777" w:rsidR="0014541E" w:rsidRPr="0014541E" w:rsidRDefault="0014541E" w:rsidP="0014541E">
            <w:pPr>
              <w:autoSpaceDE w:val="0"/>
              <w:autoSpaceDN w:val="0"/>
              <w:adjustRightInd w:val="0"/>
              <w:spacing w:line="320" w:lineRule="atLeast"/>
              <w:ind w:left="60" w:right="60"/>
              <w:rPr>
                <w:rFonts w:ascii="Times New Roman" w:hAnsi="Times New Roman" w:cs="Times New Roman"/>
                <w:color w:val="264A60"/>
                <w:lang w:bidi="km-KH"/>
              </w:rPr>
            </w:pPr>
            <w:r w:rsidRPr="0014541E">
              <w:rPr>
                <w:rFonts w:ascii="Times New Roman" w:hAnsi="Times New Roman" w:cs="Times New Roman"/>
                <w:color w:val="264A60"/>
                <w:lang w:bidi="km-KH"/>
              </w:rPr>
              <w:t>Between Groups</w:t>
            </w:r>
          </w:p>
        </w:tc>
        <w:tc>
          <w:tcPr>
            <w:tcW w:w="1890" w:type="dxa"/>
          </w:tcPr>
          <w:p w14:paraId="5A0372BF"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.976</w:t>
            </w:r>
          </w:p>
        </w:tc>
        <w:tc>
          <w:tcPr>
            <w:tcW w:w="1170" w:type="dxa"/>
          </w:tcPr>
          <w:p w14:paraId="5155E852"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7</w:t>
            </w:r>
          </w:p>
        </w:tc>
        <w:tc>
          <w:tcPr>
            <w:tcW w:w="1530" w:type="dxa"/>
          </w:tcPr>
          <w:p w14:paraId="67BE70F2"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.139</w:t>
            </w:r>
          </w:p>
        </w:tc>
        <w:tc>
          <w:tcPr>
            <w:tcW w:w="810" w:type="dxa"/>
          </w:tcPr>
          <w:p w14:paraId="0FFFE7FB"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.836</w:t>
            </w:r>
          </w:p>
        </w:tc>
        <w:tc>
          <w:tcPr>
            <w:tcW w:w="1080" w:type="dxa"/>
          </w:tcPr>
          <w:p w14:paraId="67734985"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.558</w:t>
            </w:r>
          </w:p>
        </w:tc>
      </w:tr>
      <w:tr w:rsidR="0014541E" w:rsidRPr="0014541E" w14:paraId="07BCF250" w14:textId="77777777" w:rsidTr="0014541E">
        <w:tc>
          <w:tcPr>
            <w:tcW w:w="1885" w:type="dxa"/>
          </w:tcPr>
          <w:p w14:paraId="2353AF57" w14:textId="77777777" w:rsidR="0014541E" w:rsidRPr="0014541E" w:rsidRDefault="0014541E" w:rsidP="0014541E">
            <w:pPr>
              <w:autoSpaceDE w:val="0"/>
              <w:autoSpaceDN w:val="0"/>
              <w:adjustRightInd w:val="0"/>
              <w:spacing w:line="320" w:lineRule="atLeast"/>
              <w:ind w:left="60" w:right="60"/>
              <w:rPr>
                <w:rFonts w:ascii="Times New Roman" w:hAnsi="Times New Roman" w:cs="Times New Roman"/>
                <w:color w:val="264A60"/>
                <w:lang w:bidi="km-KH"/>
              </w:rPr>
            </w:pPr>
            <w:r w:rsidRPr="0014541E">
              <w:rPr>
                <w:rFonts w:ascii="Times New Roman" w:hAnsi="Times New Roman" w:cs="Times New Roman"/>
                <w:color w:val="264A60"/>
                <w:lang w:bidi="km-KH"/>
              </w:rPr>
              <w:lastRenderedPageBreak/>
              <w:t>Within Groups</w:t>
            </w:r>
          </w:p>
        </w:tc>
        <w:tc>
          <w:tcPr>
            <w:tcW w:w="1890" w:type="dxa"/>
          </w:tcPr>
          <w:p w14:paraId="5C7A6369"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66.671</w:t>
            </w:r>
          </w:p>
        </w:tc>
        <w:tc>
          <w:tcPr>
            <w:tcW w:w="1170" w:type="dxa"/>
          </w:tcPr>
          <w:p w14:paraId="5E44A5EF"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400</w:t>
            </w:r>
          </w:p>
        </w:tc>
        <w:tc>
          <w:tcPr>
            <w:tcW w:w="1530" w:type="dxa"/>
          </w:tcPr>
          <w:p w14:paraId="0A9EA628"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.167</w:t>
            </w:r>
          </w:p>
        </w:tc>
        <w:tc>
          <w:tcPr>
            <w:tcW w:w="810" w:type="dxa"/>
          </w:tcPr>
          <w:p w14:paraId="03590854" w14:textId="77777777" w:rsidR="0014541E" w:rsidRPr="0014541E" w:rsidRDefault="0014541E" w:rsidP="0014541E">
            <w:pPr>
              <w:autoSpaceDE w:val="0"/>
              <w:autoSpaceDN w:val="0"/>
              <w:adjustRightInd w:val="0"/>
              <w:rPr>
                <w:rFonts w:ascii="Times New Roman" w:hAnsi="Times New Roman" w:cs="Times New Roman"/>
                <w:lang w:bidi="km-KH"/>
              </w:rPr>
            </w:pPr>
          </w:p>
        </w:tc>
        <w:tc>
          <w:tcPr>
            <w:tcW w:w="1080" w:type="dxa"/>
          </w:tcPr>
          <w:p w14:paraId="09A1300C" w14:textId="77777777" w:rsidR="0014541E" w:rsidRPr="0014541E" w:rsidRDefault="0014541E" w:rsidP="0014541E">
            <w:pPr>
              <w:autoSpaceDE w:val="0"/>
              <w:autoSpaceDN w:val="0"/>
              <w:adjustRightInd w:val="0"/>
              <w:rPr>
                <w:rFonts w:ascii="Times New Roman" w:hAnsi="Times New Roman" w:cs="Times New Roman"/>
                <w:lang w:bidi="km-KH"/>
              </w:rPr>
            </w:pPr>
          </w:p>
        </w:tc>
      </w:tr>
      <w:tr w:rsidR="0014541E" w:rsidRPr="0014541E" w14:paraId="35B9DD29" w14:textId="77777777" w:rsidTr="0014541E">
        <w:tc>
          <w:tcPr>
            <w:tcW w:w="1885" w:type="dxa"/>
          </w:tcPr>
          <w:p w14:paraId="76A89225" w14:textId="77777777" w:rsidR="0014541E" w:rsidRPr="0014541E" w:rsidRDefault="0014541E" w:rsidP="0014541E">
            <w:pPr>
              <w:autoSpaceDE w:val="0"/>
              <w:autoSpaceDN w:val="0"/>
              <w:adjustRightInd w:val="0"/>
              <w:spacing w:line="320" w:lineRule="atLeast"/>
              <w:ind w:left="60" w:right="60"/>
              <w:rPr>
                <w:rFonts w:ascii="Times New Roman" w:hAnsi="Times New Roman" w:cs="Times New Roman"/>
                <w:color w:val="264A60"/>
                <w:lang w:bidi="km-KH"/>
              </w:rPr>
            </w:pPr>
            <w:r w:rsidRPr="0014541E">
              <w:rPr>
                <w:rFonts w:ascii="Times New Roman" w:hAnsi="Times New Roman" w:cs="Times New Roman"/>
                <w:color w:val="264A60"/>
                <w:lang w:bidi="km-KH"/>
              </w:rPr>
              <w:t>Total</w:t>
            </w:r>
          </w:p>
        </w:tc>
        <w:tc>
          <w:tcPr>
            <w:tcW w:w="1890" w:type="dxa"/>
          </w:tcPr>
          <w:p w14:paraId="3BFB804A"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67.647</w:t>
            </w:r>
          </w:p>
        </w:tc>
        <w:tc>
          <w:tcPr>
            <w:tcW w:w="1170" w:type="dxa"/>
          </w:tcPr>
          <w:p w14:paraId="3A75719F" w14:textId="77777777" w:rsidR="0014541E" w:rsidRPr="0014541E" w:rsidRDefault="0014541E" w:rsidP="0014541E">
            <w:pPr>
              <w:autoSpaceDE w:val="0"/>
              <w:autoSpaceDN w:val="0"/>
              <w:adjustRightInd w:val="0"/>
              <w:spacing w:line="320" w:lineRule="atLeast"/>
              <w:ind w:left="60" w:right="60"/>
              <w:jc w:val="right"/>
              <w:rPr>
                <w:rFonts w:ascii="Times New Roman" w:hAnsi="Times New Roman" w:cs="Times New Roman"/>
                <w:color w:val="010205"/>
                <w:lang w:bidi="km-KH"/>
              </w:rPr>
            </w:pPr>
            <w:r w:rsidRPr="0014541E">
              <w:rPr>
                <w:rFonts w:ascii="Times New Roman" w:hAnsi="Times New Roman" w:cs="Times New Roman"/>
                <w:color w:val="010205"/>
                <w:lang w:bidi="km-KH"/>
              </w:rPr>
              <w:t>407</w:t>
            </w:r>
          </w:p>
        </w:tc>
        <w:tc>
          <w:tcPr>
            <w:tcW w:w="1530" w:type="dxa"/>
          </w:tcPr>
          <w:p w14:paraId="4694B954" w14:textId="77777777" w:rsidR="0014541E" w:rsidRPr="0014541E" w:rsidRDefault="0014541E" w:rsidP="0014541E">
            <w:pPr>
              <w:autoSpaceDE w:val="0"/>
              <w:autoSpaceDN w:val="0"/>
              <w:adjustRightInd w:val="0"/>
              <w:rPr>
                <w:rFonts w:ascii="Times New Roman" w:hAnsi="Times New Roman" w:cs="Times New Roman"/>
                <w:lang w:bidi="km-KH"/>
              </w:rPr>
            </w:pPr>
          </w:p>
        </w:tc>
        <w:tc>
          <w:tcPr>
            <w:tcW w:w="810" w:type="dxa"/>
          </w:tcPr>
          <w:p w14:paraId="529699D1" w14:textId="77777777" w:rsidR="0014541E" w:rsidRPr="0014541E" w:rsidRDefault="0014541E" w:rsidP="0014541E">
            <w:pPr>
              <w:autoSpaceDE w:val="0"/>
              <w:autoSpaceDN w:val="0"/>
              <w:adjustRightInd w:val="0"/>
              <w:rPr>
                <w:rFonts w:ascii="Times New Roman" w:hAnsi="Times New Roman" w:cs="Times New Roman"/>
                <w:lang w:bidi="km-KH"/>
              </w:rPr>
            </w:pPr>
          </w:p>
        </w:tc>
        <w:tc>
          <w:tcPr>
            <w:tcW w:w="1080" w:type="dxa"/>
          </w:tcPr>
          <w:p w14:paraId="7697B9A5" w14:textId="77777777" w:rsidR="0014541E" w:rsidRPr="0014541E" w:rsidRDefault="0014541E" w:rsidP="0014541E">
            <w:pPr>
              <w:autoSpaceDE w:val="0"/>
              <w:autoSpaceDN w:val="0"/>
              <w:adjustRightInd w:val="0"/>
              <w:rPr>
                <w:rFonts w:ascii="Times New Roman" w:hAnsi="Times New Roman" w:cs="Times New Roman"/>
                <w:lang w:bidi="km-KH"/>
              </w:rPr>
            </w:pPr>
          </w:p>
        </w:tc>
      </w:tr>
    </w:tbl>
    <w:p w14:paraId="36664F3A" w14:textId="77777777" w:rsidR="0014541E" w:rsidRPr="0014541E" w:rsidRDefault="0014541E" w:rsidP="0014541E">
      <w:pPr>
        <w:autoSpaceDE w:val="0"/>
        <w:autoSpaceDN w:val="0"/>
        <w:adjustRightInd w:val="0"/>
        <w:spacing w:after="0" w:line="400" w:lineRule="atLeast"/>
        <w:rPr>
          <w:rFonts w:ascii="Times New Roman" w:hAnsi="Times New Roman" w:cs="Times New Roman"/>
          <w:sz w:val="24"/>
          <w:szCs w:val="24"/>
          <w:lang w:bidi="km-KH"/>
        </w:rPr>
      </w:pPr>
    </w:p>
    <w:p w14:paraId="1CFD2F81" w14:textId="440009BD" w:rsidR="001D78FB" w:rsidRDefault="00371D3A" w:rsidP="00D73D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found that not statistically significant differences between students’ age cohorts in terms of school health with </w:t>
      </w:r>
      <w:r w:rsidR="007E5818">
        <w:rPr>
          <w:rFonts w:ascii="Times New Roman" w:hAnsi="Times New Roman" w:cs="Times New Roman"/>
          <w:sz w:val="24"/>
          <w:szCs w:val="24"/>
        </w:rPr>
        <w:t>F (</w:t>
      </w:r>
      <w:r>
        <w:rPr>
          <w:rFonts w:ascii="Times New Roman" w:hAnsi="Times New Roman" w:cs="Times New Roman"/>
          <w:sz w:val="24"/>
          <w:szCs w:val="24"/>
        </w:rPr>
        <w:t>7,</w:t>
      </w:r>
      <w:r w:rsidR="007E5818">
        <w:rPr>
          <w:rFonts w:ascii="Times New Roman" w:hAnsi="Times New Roman" w:cs="Times New Roman"/>
          <w:sz w:val="24"/>
          <w:szCs w:val="24"/>
        </w:rPr>
        <w:t>44) =</w:t>
      </w:r>
      <w:r w:rsidR="003E0C74">
        <w:rPr>
          <w:rFonts w:ascii="Times New Roman" w:hAnsi="Times New Roman" w:cs="Times New Roman"/>
          <w:sz w:val="24"/>
          <w:szCs w:val="24"/>
        </w:rPr>
        <w:t>.836, P=.558&gt;.05</w:t>
      </w:r>
      <w:r w:rsidR="00230436">
        <w:rPr>
          <w:rFonts w:ascii="Times New Roman" w:hAnsi="Times New Roman" w:cs="Times New Roman"/>
          <w:sz w:val="24"/>
          <w:szCs w:val="24"/>
        </w:rPr>
        <w:t xml:space="preserve"> as shown in </w:t>
      </w:r>
      <w:r w:rsidR="00230436" w:rsidRPr="00230436">
        <w:rPr>
          <w:rFonts w:ascii="Times New Roman" w:hAnsi="Times New Roman" w:cs="Times New Roman"/>
          <w:b/>
          <w:bCs/>
          <w:sz w:val="24"/>
          <w:szCs w:val="24"/>
        </w:rPr>
        <w:t>Table 3</w:t>
      </w:r>
      <w:r w:rsidR="003E0C74">
        <w:rPr>
          <w:rFonts w:ascii="Times New Roman" w:hAnsi="Times New Roman" w:cs="Times New Roman"/>
          <w:sz w:val="24"/>
          <w:szCs w:val="24"/>
        </w:rPr>
        <w:t xml:space="preserve">. </w:t>
      </w:r>
      <w:r w:rsidR="007E5818">
        <w:rPr>
          <w:rFonts w:ascii="Times New Roman" w:hAnsi="Times New Roman" w:cs="Times New Roman"/>
          <w:sz w:val="24"/>
          <w:szCs w:val="24"/>
        </w:rPr>
        <w:t xml:space="preserve">It means that hypothesis 3 was not supportive. </w:t>
      </w:r>
    </w:p>
    <w:p w14:paraId="049B5275" w14:textId="597AB0CE" w:rsidR="0052779A" w:rsidRDefault="0052779A" w:rsidP="00D73D51">
      <w:pPr>
        <w:spacing w:line="360" w:lineRule="auto"/>
        <w:jc w:val="both"/>
        <w:rPr>
          <w:rFonts w:ascii="Times New Roman" w:hAnsi="Times New Roman" w:cs="Times New Roman"/>
          <w:sz w:val="24"/>
          <w:szCs w:val="24"/>
        </w:rPr>
      </w:pPr>
      <w:r w:rsidRPr="00F5402E">
        <w:rPr>
          <w:rFonts w:ascii="Times New Roman" w:hAnsi="Times New Roman" w:cs="Times New Roman"/>
          <w:b/>
          <w:bCs/>
          <w:sz w:val="24"/>
          <w:szCs w:val="24"/>
        </w:rPr>
        <w:t>Hypothesis 4:</w:t>
      </w:r>
      <w:r>
        <w:rPr>
          <w:rFonts w:ascii="Times New Roman" w:hAnsi="Times New Roman" w:cs="Times New Roman"/>
          <w:sz w:val="24"/>
          <w:szCs w:val="24"/>
        </w:rPr>
        <w:t xml:space="preserve"> There are different results of students’ learning outcomes among selected trades.</w:t>
      </w:r>
    </w:p>
    <w:p w14:paraId="0CCC852D" w14:textId="3F289DD0" w:rsidR="00412FFE" w:rsidRPr="00412FFE" w:rsidRDefault="00061F37" w:rsidP="00061F37">
      <w:pPr>
        <w:autoSpaceDE w:val="0"/>
        <w:autoSpaceDN w:val="0"/>
        <w:adjustRightInd w:val="0"/>
        <w:spacing w:after="0" w:line="240" w:lineRule="auto"/>
        <w:jc w:val="center"/>
        <w:rPr>
          <w:rFonts w:ascii="Times New Roman" w:hAnsi="Times New Roman" w:cs="Times New Roman"/>
          <w:sz w:val="24"/>
          <w:szCs w:val="24"/>
          <w:lang w:bidi="km-KH"/>
        </w:rPr>
      </w:pPr>
      <w:r>
        <w:rPr>
          <w:rFonts w:ascii="Times New Roman" w:hAnsi="Times New Roman" w:cs="Times New Roman"/>
          <w:sz w:val="24"/>
          <w:szCs w:val="24"/>
          <w:lang w:bidi="km-KH"/>
        </w:rPr>
        <w:t>Table 4. One-Way ANOVA for hypothesis 4</w:t>
      </w:r>
    </w:p>
    <w:tbl>
      <w:tblPr>
        <w:tblStyle w:val="TableGrid"/>
        <w:tblW w:w="8373" w:type="dxa"/>
        <w:jc w:val="center"/>
        <w:tblLayout w:type="fixed"/>
        <w:tblLook w:val="0000" w:firstRow="0" w:lastRow="0" w:firstColumn="0" w:lastColumn="0" w:noHBand="0" w:noVBand="0"/>
      </w:tblPr>
      <w:tblGrid>
        <w:gridCol w:w="1885"/>
        <w:gridCol w:w="2005"/>
        <w:gridCol w:w="1025"/>
        <w:gridCol w:w="1408"/>
        <w:gridCol w:w="1025"/>
        <w:gridCol w:w="1025"/>
      </w:tblGrid>
      <w:tr w:rsidR="00412FFE" w:rsidRPr="00412FFE" w14:paraId="17F35F68" w14:textId="77777777" w:rsidTr="00412FFE">
        <w:trPr>
          <w:jc w:val="center"/>
        </w:trPr>
        <w:tc>
          <w:tcPr>
            <w:tcW w:w="8373" w:type="dxa"/>
            <w:gridSpan w:val="6"/>
          </w:tcPr>
          <w:p w14:paraId="1D1DB69D" w14:textId="77777777" w:rsidR="00412FFE" w:rsidRPr="00412FFE" w:rsidRDefault="00412FFE" w:rsidP="00412FFE">
            <w:pPr>
              <w:autoSpaceDE w:val="0"/>
              <w:autoSpaceDN w:val="0"/>
              <w:adjustRightInd w:val="0"/>
              <w:spacing w:line="320" w:lineRule="atLeast"/>
              <w:ind w:left="60" w:right="60"/>
              <w:jc w:val="center"/>
              <w:rPr>
                <w:rFonts w:ascii="Times New Roman" w:hAnsi="Times New Roman" w:cs="Times New Roman"/>
                <w:color w:val="010205"/>
                <w:lang w:bidi="km-KH"/>
              </w:rPr>
            </w:pPr>
            <w:r w:rsidRPr="00412FFE">
              <w:rPr>
                <w:rFonts w:ascii="Times New Roman" w:hAnsi="Times New Roman" w:cs="Times New Roman"/>
                <w:b/>
                <w:bCs/>
                <w:color w:val="010205"/>
                <w:lang w:bidi="km-KH"/>
              </w:rPr>
              <w:t>ANOVA</w:t>
            </w:r>
          </w:p>
        </w:tc>
      </w:tr>
      <w:tr w:rsidR="00412FFE" w:rsidRPr="00412FFE" w14:paraId="0648D0AD" w14:textId="77777777" w:rsidTr="00412FFE">
        <w:trPr>
          <w:jc w:val="center"/>
        </w:trPr>
        <w:tc>
          <w:tcPr>
            <w:tcW w:w="8373" w:type="dxa"/>
            <w:gridSpan w:val="6"/>
          </w:tcPr>
          <w:p w14:paraId="6E9FDF5C" w14:textId="375813B5" w:rsidR="00412FFE" w:rsidRPr="00412FFE" w:rsidRDefault="00412FFE" w:rsidP="00412FFE">
            <w:pPr>
              <w:autoSpaceDE w:val="0"/>
              <w:autoSpaceDN w:val="0"/>
              <w:adjustRightInd w:val="0"/>
              <w:spacing w:line="320" w:lineRule="atLeast"/>
              <w:rPr>
                <w:rFonts w:ascii="Times New Roman" w:hAnsi="Times New Roman" w:cs="Times New Roman"/>
                <w:lang w:bidi="km-KH"/>
              </w:rPr>
            </w:pPr>
            <w:r>
              <w:rPr>
                <w:rFonts w:ascii="Times New Roman" w:hAnsi="Times New Roman" w:cs="Times New Roman"/>
                <w:color w:val="010205"/>
                <w:shd w:val="clear" w:color="auto" w:fill="FFFFFF"/>
                <w:lang w:bidi="km-KH"/>
              </w:rPr>
              <w:t>Students’ Learning Outcome</w:t>
            </w:r>
            <w:r w:rsidRPr="00412FFE">
              <w:rPr>
                <w:rFonts w:ascii="Times New Roman" w:hAnsi="Times New Roman" w:cs="Times New Roman"/>
                <w:color w:val="010205"/>
                <w:shd w:val="clear" w:color="auto" w:fill="FFFFFF"/>
                <w:lang w:bidi="km-KH"/>
              </w:rPr>
              <w:t xml:space="preserve"> </w:t>
            </w:r>
          </w:p>
        </w:tc>
      </w:tr>
      <w:tr w:rsidR="00412FFE" w:rsidRPr="00412FFE" w14:paraId="15719089" w14:textId="77777777" w:rsidTr="00412FFE">
        <w:trPr>
          <w:jc w:val="center"/>
        </w:trPr>
        <w:tc>
          <w:tcPr>
            <w:tcW w:w="1885" w:type="dxa"/>
          </w:tcPr>
          <w:p w14:paraId="327A20E4" w14:textId="77777777" w:rsidR="00412FFE" w:rsidRPr="00412FFE" w:rsidRDefault="00412FFE" w:rsidP="00412FFE">
            <w:pPr>
              <w:autoSpaceDE w:val="0"/>
              <w:autoSpaceDN w:val="0"/>
              <w:adjustRightInd w:val="0"/>
              <w:rPr>
                <w:rFonts w:ascii="Times New Roman" w:hAnsi="Times New Roman" w:cs="Times New Roman"/>
                <w:lang w:bidi="km-KH"/>
              </w:rPr>
            </w:pPr>
          </w:p>
        </w:tc>
        <w:tc>
          <w:tcPr>
            <w:tcW w:w="2005" w:type="dxa"/>
          </w:tcPr>
          <w:p w14:paraId="124C8C78" w14:textId="77777777" w:rsidR="00412FFE" w:rsidRPr="00412FFE" w:rsidRDefault="00412FFE" w:rsidP="00412FFE">
            <w:pPr>
              <w:autoSpaceDE w:val="0"/>
              <w:autoSpaceDN w:val="0"/>
              <w:adjustRightInd w:val="0"/>
              <w:spacing w:line="320" w:lineRule="atLeast"/>
              <w:ind w:left="60" w:right="60"/>
              <w:jc w:val="center"/>
              <w:rPr>
                <w:rFonts w:ascii="Times New Roman" w:hAnsi="Times New Roman" w:cs="Times New Roman"/>
                <w:color w:val="264A60"/>
                <w:lang w:bidi="km-KH"/>
              </w:rPr>
            </w:pPr>
            <w:r w:rsidRPr="00412FFE">
              <w:rPr>
                <w:rFonts w:ascii="Times New Roman" w:hAnsi="Times New Roman" w:cs="Times New Roman"/>
                <w:color w:val="264A60"/>
                <w:lang w:bidi="km-KH"/>
              </w:rPr>
              <w:t>Sum of Squares</w:t>
            </w:r>
          </w:p>
        </w:tc>
        <w:tc>
          <w:tcPr>
            <w:tcW w:w="1025" w:type="dxa"/>
          </w:tcPr>
          <w:p w14:paraId="1DB58F91" w14:textId="77777777" w:rsidR="00412FFE" w:rsidRPr="00412FFE" w:rsidRDefault="00412FFE" w:rsidP="00412FFE">
            <w:pPr>
              <w:autoSpaceDE w:val="0"/>
              <w:autoSpaceDN w:val="0"/>
              <w:adjustRightInd w:val="0"/>
              <w:spacing w:line="320" w:lineRule="atLeast"/>
              <w:ind w:left="60" w:right="60"/>
              <w:jc w:val="center"/>
              <w:rPr>
                <w:rFonts w:ascii="Times New Roman" w:hAnsi="Times New Roman" w:cs="Times New Roman"/>
                <w:color w:val="264A60"/>
                <w:lang w:bidi="km-KH"/>
              </w:rPr>
            </w:pPr>
            <w:proofErr w:type="spellStart"/>
            <w:r w:rsidRPr="00412FFE">
              <w:rPr>
                <w:rFonts w:ascii="Times New Roman" w:hAnsi="Times New Roman" w:cs="Times New Roman"/>
                <w:color w:val="264A60"/>
                <w:lang w:bidi="km-KH"/>
              </w:rPr>
              <w:t>df</w:t>
            </w:r>
            <w:proofErr w:type="spellEnd"/>
          </w:p>
        </w:tc>
        <w:tc>
          <w:tcPr>
            <w:tcW w:w="1408" w:type="dxa"/>
          </w:tcPr>
          <w:p w14:paraId="59517B73" w14:textId="77777777" w:rsidR="00412FFE" w:rsidRPr="00412FFE" w:rsidRDefault="00412FFE" w:rsidP="00412FFE">
            <w:pPr>
              <w:autoSpaceDE w:val="0"/>
              <w:autoSpaceDN w:val="0"/>
              <w:adjustRightInd w:val="0"/>
              <w:spacing w:line="320" w:lineRule="atLeast"/>
              <w:ind w:left="60" w:right="60"/>
              <w:jc w:val="center"/>
              <w:rPr>
                <w:rFonts w:ascii="Times New Roman" w:hAnsi="Times New Roman" w:cs="Times New Roman"/>
                <w:color w:val="264A60"/>
                <w:lang w:bidi="km-KH"/>
              </w:rPr>
            </w:pPr>
            <w:r w:rsidRPr="00412FFE">
              <w:rPr>
                <w:rFonts w:ascii="Times New Roman" w:hAnsi="Times New Roman" w:cs="Times New Roman"/>
                <w:color w:val="264A60"/>
                <w:lang w:bidi="km-KH"/>
              </w:rPr>
              <w:t>Mean Square</w:t>
            </w:r>
          </w:p>
        </w:tc>
        <w:tc>
          <w:tcPr>
            <w:tcW w:w="1025" w:type="dxa"/>
          </w:tcPr>
          <w:p w14:paraId="25F9D973" w14:textId="77777777" w:rsidR="00412FFE" w:rsidRPr="00412FFE" w:rsidRDefault="00412FFE" w:rsidP="00412FFE">
            <w:pPr>
              <w:autoSpaceDE w:val="0"/>
              <w:autoSpaceDN w:val="0"/>
              <w:adjustRightInd w:val="0"/>
              <w:spacing w:line="320" w:lineRule="atLeast"/>
              <w:ind w:left="60" w:right="60"/>
              <w:jc w:val="center"/>
              <w:rPr>
                <w:rFonts w:ascii="Times New Roman" w:hAnsi="Times New Roman" w:cs="Times New Roman"/>
                <w:color w:val="264A60"/>
                <w:lang w:bidi="km-KH"/>
              </w:rPr>
            </w:pPr>
            <w:r w:rsidRPr="00412FFE">
              <w:rPr>
                <w:rFonts w:ascii="Times New Roman" w:hAnsi="Times New Roman" w:cs="Times New Roman"/>
                <w:color w:val="264A60"/>
                <w:lang w:bidi="km-KH"/>
              </w:rPr>
              <w:t>F</w:t>
            </w:r>
          </w:p>
        </w:tc>
        <w:tc>
          <w:tcPr>
            <w:tcW w:w="1025" w:type="dxa"/>
          </w:tcPr>
          <w:p w14:paraId="7D17CF1D" w14:textId="77777777" w:rsidR="00412FFE" w:rsidRPr="00412FFE" w:rsidRDefault="00412FFE" w:rsidP="00412FFE">
            <w:pPr>
              <w:autoSpaceDE w:val="0"/>
              <w:autoSpaceDN w:val="0"/>
              <w:adjustRightInd w:val="0"/>
              <w:spacing w:line="320" w:lineRule="atLeast"/>
              <w:ind w:left="60" w:right="60"/>
              <w:jc w:val="center"/>
              <w:rPr>
                <w:rFonts w:ascii="Times New Roman" w:hAnsi="Times New Roman" w:cs="Times New Roman"/>
                <w:color w:val="264A60"/>
                <w:lang w:bidi="km-KH"/>
              </w:rPr>
            </w:pPr>
            <w:r w:rsidRPr="00412FFE">
              <w:rPr>
                <w:rFonts w:ascii="Times New Roman" w:hAnsi="Times New Roman" w:cs="Times New Roman"/>
                <w:color w:val="264A60"/>
                <w:lang w:bidi="km-KH"/>
              </w:rPr>
              <w:t>Sig.</w:t>
            </w:r>
          </w:p>
        </w:tc>
      </w:tr>
      <w:tr w:rsidR="00412FFE" w:rsidRPr="00412FFE" w14:paraId="08DFF226" w14:textId="77777777" w:rsidTr="00412FFE">
        <w:trPr>
          <w:jc w:val="center"/>
        </w:trPr>
        <w:tc>
          <w:tcPr>
            <w:tcW w:w="1885" w:type="dxa"/>
          </w:tcPr>
          <w:p w14:paraId="40C29B21" w14:textId="77777777" w:rsidR="00412FFE" w:rsidRPr="00412FFE" w:rsidRDefault="00412FFE" w:rsidP="00412FFE">
            <w:pPr>
              <w:autoSpaceDE w:val="0"/>
              <w:autoSpaceDN w:val="0"/>
              <w:adjustRightInd w:val="0"/>
              <w:spacing w:line="320" w:lineRule="atLeast"/>
              <w:ind w:left="60" w:right="60"/>
              <w:rPr>
                <w:rFonts w:ascii="Times New Roman" w:hAnsi="Times New Roman" w:cs="Times New Roman"/>
                <w:color w:val="264A60"/>
                <w:lang w:bidi="km-KH"/>
              </w:rPr>
            </w:pPr>
            <w:r w:rsidRPr="00412FFE">
              <w:rPr>
                <w:rFonts w:ascii="Times New Roman" w:hAnsi="Times New Roman" w:cs="Times New Roman"/>
                <w:color w:val="264A60"/>
                <w:lang w:bidi="km-KH"/>
              </w:rPr>
              <w:t>Between Groups</w:t>
            </w:r>
          </w:p>
        </w:tc>
        <w:tc>
          <w:tcPr>
            <w:tcW w:w="2005" w:type="dxa"/>
          </w:tcPr>
          <w:p w14:paraId="04C62625"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1.215</w:t>
            </w:r>
          </w:p>
        </w:tc>
        <w:tc>
          <w:tcPr>
            <w:tcW w:w="1025" w:type="dxa"/>
          </w:tcPr>
          <w:p w14:paraId="40B21529"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5</w:t>
            </w:r>
          </w:p>
        </w:tc>
        <w:tc>
          <w:tcPr>
            <w:tcW w:w="1408" w:type="dxa"/>
          </w:tcPr>
          <w:p w14:paraId="0AE296D2"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.243</w:t>
            </w:r>
          </w:p>
        </w:tc>
        <w:tc>
          <w:tcPr>
            <w:tcW w:w="1025" w:type="dxa"/>
          </w:tcPr>
          <w:p w14:paraId="31C0B05C"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1.035</w:t>
            </w:r>
          </w:p>
        </w:tc>
        <w:tc>
          <w:tcPr>
            <w:tcW w:w="1025" w:type="dxa"/>
          </w:tcPr>
          <w:p w14:paraId="483A8A7E"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.397</w:t>
            </w:r>
          </w:p>
        </w:tc>
      </w:tr>
      <w:tr w:rsidR="00412FFE" w:rsidRPr="00412FFE" w14:paraId="623E4D1B" w14:textId="77777777" w:rsidTr="00412FFE">
        <w:trPr>
          <w:jc w:val="center"/>
        </w:trPr>
        <w:tc>
          <w:tcPr>
            <w:tcW w:w="1885" w:type="dxa"/>
          </w:tcPr>
          <w:p w14:paraId="12593E46" w14:textId="77777777" w:rsidR="00412FFE" w:rsidRPr="00412FFE" w:rsidRDefault="00412FFE" w:rsidP="00412FFE">
            <w:pPr>
              <w:autoSpaceDE w:val="0"/>
              <w:autoSpaceDN w:val="0"/>
              <w:adjustRightInd w:val="0"/>
              <w:spacing w:line="320" w:lineRule="atLeast"/>
              <w:ind w:left="60" w:right="60"/>
              <w:rPr>
                <w:rFonts w:ascii="Times New Roman" w:hAnsi="Times New Roman" w:cs="Times New Roman"/>
                <w:color w:val="264A60"/>
                <w:lang w:bidi="km-KH"/>
              </w:rPr>
            </w:pPr>
            <w:r w:rsidRPr="00412FFE">
              <w:rPr>
                <w:rFonts w:ascii="Times New Roman" w:hAnsi="Times New Roman" w:cs="Times New Roman"/>
                <w:color w:val="264A60"/>
                <w:lang w:bidi="km-KH"/>
              </w:rPr>
              <w:t>Within Groups</w:t>
            </w:r>
          </w:p>
        </w:tc>
        <w:tc>
          <w:tcPr>
            <w:tcW w:w="2005" w:type="dxa"/>
          </w:tcPr>
          <w:p w14:paraId="04B6CC30"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94.415</w:t>
            </w:r>
          </w:p>
        </w:tc>
        <w:tc>
          <w:tcPr>
            <w:tcW w:w="1025" w:type="dxa"/>
          </w:tcPr>
          <w:p w14:paraId="73C40F39"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402</w:t>
            </w:r>
          </w:p>
        </w:tc>
        <w:tc>
          <w:tcPr>
            <w:tcW w:w="1408" w:type="dxa"/>
          </w:tcPr>
          <w:p w14:paraId="4388E9FB"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.235</w:t>
            </w:r>
          </w:p>
        </w:tc>
        <w:tc>
          <w:tcPr>
            <w:tcW w:w="1025" w:type="dxa"/>
          </w:tcPr>
          <w:p w14:paraId="768507CA" w14:textId="77777777" w:rsidR="00412FFE" w:rsidRPr="00412FFE" w:rsidRDefault="00412FFE" w:rsidP="00412FFE">
            <w:pPr>
              <w:autoSpaceDE w:val="0"/>
              <w:autoSpaceDN w:val="0"/>
              <w:adjustRightInd w:val="0"/>
              <w:rPr>
                <w:rFonts w:ascii="Times New Roman" w:hAnsi="Times New Roman" w:cs="Times New Roman"/>
                <w:lang w:bidi="km-KH"/>
              </w:rPr>
            </w:pPr>
          </w:p>
        </w:tc>
        <w:tc>
          <w:tcPr>
            <w:tcW w:w="1025" w:type="dxa"/>
          </w:tcPr>
          <w:p w14:paraId="6888C6C4" w14:textId="77777777" w:rsidR="00412FFE" w:rsidRPr="00412FFE" w:rsidRDefault="00412FFE" w:rsidP="00412FFE">
            <w:pPr>
              <w:autoSpaceDE w:val="0"/>
              <w:autoSpaceDN w:val="0"/>
              <w:adjustRightInd w:val="0"/>
              <w:rPr>
                <w:rFonts w:ascii="Times New Roman" w:hAnsi="Times New Roman" w:cs="Times New Roman"/>
                <w:lang w:bidi="km-KH"/>
              </w:rPr>
            </w:pPr>
          </w:p>
        </w:tc>
      </w:tr>
      <w:tr w:rsidR="00412FFE" w:rsidRPr="00412FFE" w14:paraId="52B6AB0F" w14:textId="77777777" w:rsidTr="00412FFE">
        <w:trPr>
          <w:jc w:val="center"/>
        </w:trPr>
        <w:tc>
          <w:tcPr>
            <w:tcW w:w="1885" w:type="dxa"/>
          </w:tcPr>
          <w:p w14:paraId="0B20E0F9" w14:textId="77777777" w:rsidR="00412FFE" w:rsidRPr="00412FFE" w:rsidRDefault="00412FFE" w:rsidP="00412FFE">
            <w:pPr>
              <w:autoSpaceDE w:val="0"/>
              <w:autoSpaceDN w:val="0"/>
              <w:adjustRightInd w:val="0"/>
              <w:spacing w:line="320" w:lineRule="atLeast"/>
              <w:ind w:left="60" w:right="60"/>
              <w:rPr>
                <w:rFonts w:ascii="Times New Roman" w:hAnsi="Times New Roman" w:cs="Times New Roman"/>
                <w:color w:val="264A60"/>
                <w:lang w:bidi="km-KH"/>
              </w:rPr>
            </w:pPr>
            <w:r w:rsidRPr="00412FFE">
              <w:rPr>
                <w:rFonts w:ascii="Times New Roman" w:hAnsi="Times New Roman" w:cs="Times New Roman"/>
                <w:color w:val="264A60"/>
                <w:lang w:bidi="km-KH"/>
              </w:rPr>
              <w:t>Total</w:t>
            </w:r>
          </w:p>
        </w:tc>
        <w:tc>
          <w:tcPr>
            <w:tcW w:w="2005" w:type="dxa"/>
          </w:tcPr>
          <w:p w14:paraId="076373F9"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95.630</w:t>
            </w:r>
          </w:p>
        </w:tc>
        <w:tc>
          <w:tcPr>
            <w:tcW w:w="1025" w:type="dxa"/>
          </w:tcPr>
          <w:p w14:paraId="0D64BDD3" w14:textId="77777777" w:rsidR="00412FFE" w:rsidRPr="00412FFE" w:rsidRDefault="00412FFE" w:rsidP="00412FFE">
            <w:pPr>
              <w:autoSpaceDE w:val="0"/>
              <w:autoSpaceDN w:val="0"/>
              <w:adjustRightInd w:val="0"/>
              <w:spacing w:line="320" w:lineRule="atLeast"/>
              <w:ind w:left="60" w:right="60"/>
              <w:jc w:val="right"/>
              <w:rPr>
                <w:rFonts w:ascii="Times New Roman" w:hAnsi="Times New Roman" w:cs="Times New Roman"/>
                <w:color w:val="010205"/>
                <w:lang w:bidi="km-KH"/>
              </w:rPr>
            </w:pPr>
            <w:r w:rsidRPr="00412FFE">
              <w:rPr>
                <w:rFonts w:ascii="Times New Roman" w:hAnsi="Times New Roman" w:cs="Times New Roman"/>
                <w:color w:val="010205"/>
                <w:lang w:bidi="km-KH"/>
              </w:rPr>
              <w:t>407</w:t>
            </w:r>
          </w:p>
        </w:tc>
        <w:tc>
          <w:tcPr>
            <w:tcW w:w="1408" w:type="dxa"/>
          </w:tcPr>
          <w:p w14:paraId="6CD2FB20" w14:textId="77777777" w:rsidR="00412FFE" w:rsidRPr="00412FFE" w:rsidRDefault="00412FFE" w:rsidP="00412FFE">
            <w:pPr>
              <w:autoSpaceDE w:val="0"/>
              <w:autoSpaceDN w:val="0"/>
              <w:adjustRightInd w:val="0"/>
              <w:rPr>
                <w:rFonts w:ascii="Times New Roman" w:hAnsi="Times New Roman" w:cs="Times New Roman"/>
                <w:lang w:bidi="km-KH"/>
              </w:rPr>
            </w:pPr>
          </w:p>
        </w:tc>
        <w:tc>
          <w:tcPr>
            <w:tcW w:w="1025" w:type="dxa"/>
          </w:tcPr>
          <w:p w14:paraId="74F8F2A8" w14:textId="77777777" w:rsidR="00412FFE" w:rsidRPr="00412FFE" w:rsidRDefault="00412FFE" w:rsidP="00412FFE">
            <w:pPr>
              <w:autoSpaceDE w:val="0"/>
              <w:autoSpaceDN w:val="0"/>
              <w:adjustRightInd w:val="0"/>
              <w:rPr>
                <w:rFonts w:ascii="Times New Roman" w:hAnsi="Times New Roman" w:cs="Times New Roman"/>
                <w:lang w:bidi="km-KH"/>
              </w:rPr>
            </w:pPr>
          </w:p>
        </w:tc>
        <w:tc>
          <w:tcPr>
            <w:tcW w:w="1025" w:type="dxa"/>
          </w:tcPr>
          <w:p w14:paraId="0D8216F0" w14:textId="77777777" w:rsidR="00412FFE" w:rsidRPr="00412FFE" w:rsidRDefault="00412FFE" w:rsidP="00412FFE">
            <w:pPr>
              <w:autoSpaceDE w:val="0"/>
              <w:autoSpaceDN w:val="0"/>
              <w:adjustRightInd w:val="0"/>
              <w:rPr>
                <w:rFonts w:ascii="Times New Roman" w:hAnsi="Times New Roman" w:cs="Times New Roman"/>
                <w:lang w:bidi="km-KH"/>
              </w:rPr>
            </w:pPr>
          </w:p>
        </w:tc>
      </w:tr>
    </w:tbl>
    <w:p w14:paraId="44CD4F4B" w14:textId="77777777" w:rsidR="00412FFE" w:rsidRPr="00412FFE" w:rsidRDefault="00412FFE" w:rsidP="00412FFE">
      <w:pPr>
        <w:autoSpaceDE w:val="0"/>
        <w:autoSpaceDN w:val="0"/>
        <w:adjustRightInd w:val="0"/>
        <w:spacing w:after="0" w:line="400" w:lineRule="atLeast"/>
        <w:rPr>
          <w:rFonts w:ascii="Times New Roman" w:hAnsi="Times New Roman" w:cs="Times New Roman"/>
          <w:sz w:val="24"/>
          <w:szCs w:val="24"/>
          <w:lang w:bidi="km-KH"/>
        </w:rPr>
      </w:pPr>
    </w:p>
    <w:p w14:paraId="77853180" w14:textId="5B245C4B" w:rsidR="00A3726F" w:rsidRDefault="00635134" w:rsidP="00D73D51">
      <w:pPr>
        <w:spacing w:line="360" w:lineRule="auto"/>
        <w:jc w:val="both"/>
        <w:rPr>
          <w:rFonts w:ascii="Times New Roman" w:hAnsi="Times New Roman" w:cs="Times New Roman"/>
          <w:sz w:val="24"/>
          <w:szCs w:val="24"/>
        </w:rPr>
      </w:pPr>
      <w:r>
        <w:rPr>
          <w:rFonts w:ascii="Times New Roman" w:hAnsi="Times New Roman" w:cs="Times New Roman"/>
          <w:sz w:val="24"/>
          <w:szCs w:val="24"/>
        </w:rPr>
        <w:t>We found not statistically significant differences between selected trades in terms of students’ learning outcome with F (5, 402) =1.035, P=.397&gt;.05</w:t>
      </w:r>
      <w:r w:rsidR="00BF5FEC">
        <w:rPr>
          <w:rFonts w:ascii="Times New Roman" w:hAnsi="Times New Roman" w:cs="Times New Roman"/>
          <w:sz w:val="24"/>
          <w:szCs w:val="24"/>
        </w:rPr>
        <w:t xml:space="preserve"> as shown in </w:t>
      </w:r>
      <w:r w:rsidR="00BF5FEC" w:rsidRPr="00BF5FEC">
        <w:rPr>
          <w:rFonts w:ascii="Times New Roman" w:hAnsi="Times New Roman" w:cs="Times New Roman"/>
          <w:b/>
          <w:bCs/>
          <w:sz w:val="24"/>
          <w:szCs w:val="24"/>
        </w:rPr>
        <w:t>Table 4</w:t>
      </w:r>
      <w:r>
        <w:rPr>
          <w:rFonts w:ascii="Times New Roman" w:hAnsi="Times New Roman" w:cs="Times New Roman"/>
          <w:sz w:val="24"/>
          <w:szCs w:val="24"/>
        </w:rPr>
        <w:t xml:space="preserve">. It means that hypothesis 4 was not supportive. </w:t>
      </w:r>
    </w:p>
    <w:p w14:paraId="0359AD37" w14:textId="5B0A9F59" w:rsidR="004D0622" w:rsidRPr="004D0622" w:rsidRDefault="0052779A" w:rsidP="00E17553">
      <w:pPr>
        <w:spacing w:line="360" w:lineRule="auto"/>
        <w:jc w:val="both"/>
        <w:rPr>
          <w:rFonts w:ascii="Times New Roman" w:hAnsi="Times New Roman" w:cs="Times New Roman"/>
          <w:sz w:val="24"/>
          <w:szCs w:val="24"/>
        </w:rPr>
      </w:pPr>
      <w:r w:rsidRPr="00F5402E">
        <w:rPr>
          <w:rFonts w:ascii="Times New Roman" w:hAnsi="Times New Roman" w:cs="Times New Roman"/>
          <w:b/>
          <w:bCs/>
          <w:sz w:val="24"/>
          <w:szCs w:val="24"/>
        </w:rPr>
        <w:t>Hypothesis 5:</w:t>
      </w:r>
      <w:r>
        <w:rPr>
          <w:rFonts w:ascii="Times New Roman" w:hAnsi="Times New Roman" w:cs="Times New Roman"/>
          <w:sz w:val="24"/>
          <w:szCs w:val="24"/>
        </w:rPr>
        <w:t xml:space="preserve"> There are different learning outcomes among students’ family status. </w:t>
      </w:r>
    </w:p>
    <w:p w14:paraId="3129CA69" w14:textId="23645D4D" w:rsidR="004D0622" w:rsidRPr="004D0622" w:rsidRDefault="005E4B9E" w:rsidP="005E4B9E">
      <w:pPr>
        <w:autoSpaceDE w:val="0"/>
        <w:autoSpaceDN w:val="0"/>
        <w:adjustRightInd w:val="0"/>
        <w:spacing w:after="0" w:line="400" w:lineRule="atLeast"/>
        <w:jc w:val="center"/>
        <w:rPr>
          <w:rFonts w:ascii="Times New Roman" w:hAnsi="Times New Roman" w:cs="Times New Roman"/>
          <w:sz w:val="24"/>
          <w:szCs w:val="24"/>
          <w:lang w:bidi="km-KH"/>
        </w:rPr>
      </w:pPr>
      <w:r>
        <w:rPr>
          <w:rFonts w:ascii="Times New Roman" w:hAnsi="Times New Roman" w:cs="Times New Roman"/>
          <w:sz w:val="24"/>
          <w:szCs w:val="24"/>
          <w:lang w:bidi="km-KH"/>
        </w:rPr>
        <w:t>Table 5. One-Way ANOVA for Hypothesis 5</w:t>
      </w:r>
    </w:p>
    <w:p w14:paraId="47FDA0F4" w14:textId="77777777" w:rsidR="004D0622" w:rsidRPr="004D0622" w:rsidRDefault="004D0622" w:rsidP="004D0622">
      <w:pPr>
        <w:autoSpaceDE w:val="0"/>
        <w:autoSpaceDN w:val="0"/>
        <w:adjustRightInd w:val="0"/>
        <w:spacing w:after="0" w:line="240" w:lineRule="auto"/>
        <w:rPr>
          <w:rFonts w:ascii="Times New Roman" w:hAnsi="Times New Roman" w:cs="Times New Roman"/>
          <w:sz w:val="24"/>
          <w:szCs w:val="24"/>
          <w:lang w:bidi="km-KH"/>
        </w:rPr>
      </w:pPr>
    </w:p>
    <w:tbl>
      <w:tblPr>
        <w:tblStyle w:val="TableGrid"/>
        <w:tblW w:w="8378" w:type="dxa"/>
        <w:jc w:val="center"/>
        <w:tblLayout w:type="fixed"/>
        <w:tblLook w:val="0000" w:firstRow="0" w:lastRow="0" w:firstColumn="0" w:lastColumn="0" w:noHBand="0" w:noVBand="0"/>
      </w:tblPr>
      <w:tblGrid>
        <w:gridCol w:w="2075"/>
        <w:gridCol w:w="1820"/>
        <w:gridCol w:w="1025"/>
        <w:gridCol w:w="1408"/>
        <w:gridCol w:w="1025"/>
        <w:gridCol w:w="1025"/>
      </w:tblGrid>
      <w:tr w:rsidR="004D0622" w:rsidRPr="00606BC2" w14:paraId="75007A26" w14:textId="77777777" w:rsidTr="00606BC2">
        <w:trPr>
          <w:jc w:val="center"/>
        </w:trPr>
        <w:tc>
          <w:tcPr>
            <w:tcW w:w="8378" w:type="dxa"/>
            <w:gridSpan w:val="6"/>
          </w:tcPr>
          <w:p w14:paraId="68147CB1" w14:textId="77777777" w:rsidR="004D0622" w:rsidRPr="00606BC2" w:rsidRDefault="004D0622" w:rsidP="004D0622">
            <w:pPr>
              <w:autoSpaceDE w:val="0"/>
              <w:autoSpaceDN w:val="0"/>
              <w:adjustRightInd w:val="0"/>
              <w:spacing w:line="320" w:lineRule="atLeast"/>
              <w:ind w:left="60" w:right="60"/>
              <w:jc w:val="center"/>
              <w:rPr>
                <w:rFonts w:ascii="Times New Roman" w:hAnsi="Times New Roman" w:cs="Times New Roman"/>
                <w:color w:val="010205"/>
                <w:lang w:bidi="km-KH"/>
              </w:rPr>
            </w:pPr>
            <w:r w:rsidRPr="00606BC2">
              <w:rPr>
                <w:rFonts w:ascii="Times New Roman" w:hAnsi="Times New Roman" w:cs="Times New Roman"/>
                <w:b/>
                <w:bCs/>
                <w:color w:val="010205"/>
                <w:lang w:bidi="km-KH"/>
              </w:rPr>
              <w:t>ANOVA</w:t>
            </w:r>
          </w:p>
        </w:tc>
      </w:tr>
      <w:tr w:rsidR="004D0622" w:rsidRPr="00606BC2" w14:paraId="734B62C4" w14:textId="77777777" w:rsidTr="00606BC2">
        <w:trPr>
          <w:jc w:val="center"/>
        </w:trPr>
        <w:tc>
          <w:tcPr>
            <w:tcW w:w="8378" w:type="dxa"/>
            <w:gridSpan w:val="6"/>
          </w:tcPr>
          <w:p w14:paraId="2E5AFA91" w14:textId="77777777" w:rsidR="004D0622" w:rsidRPr="00606BC2" w:rsidRDefault="004D0622" w:rsidP="004D0622">
            <w:pPr>
              <w:autoSpaceDE w:val="0"/>
              <w:autoSpaceDN w:val="0"/>
              <w:adjustRightInd w:val="0"/>
              <w:spacing w:line="320" w:lineRule="atLeast"/>
              <w:rPr>
                <w:rFonts w:ascii="Times New Roman" w:hAnsi="Times New Roman" w:cs="Times New Roman"/>
                <w:lang w:bidi="km-KH"/>
              </w:rPr>
            </w:pPr>
            <w:r w:rsidRPr="00606BC2">
              <w:rPr>
                <w:rFonts w:ascii="Times New Roman" w:hAnsi="Times New Roman" w:cs="Times New Roman"/>
                <w:color w:val="010205"/>
                <w:shd w:val="clear" w:color="auto" w:fill="FFFFFF"/>
                <w:lang w:bidi="km-KH"/>
              </w:rPr>
              <w:t xml:space="preserve">Mean1  </w:t>
            </w:r>
          </w:p>
        </w:tc>
      </w:tr>
      <w:tr w:rsidR="004D0622" w:rsidRPr="00606BC2" w14:paraId="50B28C14" w14:textId="77777777" w:rsidTr="00606BC2">
        <w:trPr>
          <w:jc w:val="center"/>
        </w:trPr>
        <w:tc>
          <w:tcPr>
            <w:tcW w:w="2075" w:type="dxa"/>
          </w:tcPr>
          <w:p w14:paraId="2E18EE18" w14:textId="77777777" w:rsidR="004D0622" w:rsidRPr="00606BC2" w:rsidRDefault="004D0622" w:rsidP="004D0622">
            <w:pPr>
              <w:autoSpaceDE w:val="0"/>
              <w:autoSpaceDN w:val="0"/>
              <w:adjustRightInd w:val="0"/>
              <w:rPr>
                <w:rFonts w:ascii="Times New Roman" w:hAnsi="Times New Roman" w:cs="Times New Roman"/>
                <w:lang w:bidi="km-KH"/>
              </w:rPr>
            </w:pPr>
          </w:p>
        </w:tc>
        <w:tc>
          <w:tcPr>
            <w:tcW w:w="1820" w:type="dxa"/>
          </w:tcPr>
          <w:p w14:paraId="0D72CFFC" w14:textId="77777777" w:rsidR="004D0622" w:rsidRPr="00606BC2" w:rsidRDefault="004D0622" w:rsidP="004D0622">
            <w:pPr>
              <w:autoSpaceDE w:val="0"/>
              <w:autoSpaceDN w:val="0"/>
              <w:adjustRightInd w:val="0"/>
              <w:spacing w:line="320" w:lineRule="atLeast"/>
              <w:ind w:left="60" w:right="60"/>
              <w:jc w:val="center"/>
              <w:rPr>
                <w:rFonts w:ascii="Times New Roman" w:hAnsi="Times New Roman" w:cs="Times New Roman"/>
                <w:color w:val="264A60"/>
                <w:lang w:bidi="km-KH"/>
              </w:rPr>
            </w:pPr>
            <w:r w:rsidRPr="00606BC2">
              <w:rPr>
                <w:rFonts w:ascii="Times New Roman" w:hAnsi="Times New Roman" w:cs="Times New Roman"/>
                <w:color w:val="264A60"/>
                <w:lang w:bidi="km-KH"/>
              </w:rPr>
              <w:t>Sum of Squares</w:t>
            </w:r>
          </w:p>
        </w:tc>
        <w:tc>
          <w:tcPr>
            <w:tcW w:w="1025" w:type="dxa"/>
          </w:tcPr>
          <w:p w14:paraId="08A1B20B" w14:textId="77777777" w:rsidR="004D0622" w:rsidRPr="00606BC2" w:rsidRDefault="004D0622" w:rsidP="004D0622">
            <w:pPr>
              <w:autoSpaceDE w:val="0"/>
              <w:autoSpaceDN w:val="0"/>
              <w:adjustRightInd w:val="0"/>
              <w:spacing w:line="320" w:lineRule="atLeast"/>
              <w:ind w:left="60" w:right="60"/>
              <w:jc w:val="center"/>
              <w:rPr>
                <w:rFonts w:ascii="Times New Roman" w:hAnsi="Times New Roman" w:cs="Times New Roman"/>
                <w:color w:val="264A60"/>
                <w:lang w:bidi="km-KH"/>
              </w:rPr>
            </w:pPr>
            <w:proofErr w:type="spellStart"/>
            <w:r w:rsidRPr="00606BC2">
              <w:rPr>
                <w:rFonts w:ascii="Times New Roman" w:hAnsi="Times New Roman" w:cs="Times New Roman"/>
                <w:color w:val="264A60"/>
                <w:lang w:bidi="km-KH"/>
              </w:rPr>
              <w:t>df</w:t>
            </w:r>
            <w:proofErr w:type="spellEnd"/>
          </w:p>
        </w:tc>
        <w:tc>
          <w:tcPr>
            <w:tcW w:w="1408" w:type="dxa"/>
          </w:tcPr>
          <w:p w14:paraId="3E380C04" w14:textId="77777777" w:rsidR="004D0622" w:rsidRPr="00606BC2" w:rsidRDefault="004D0622" w:rsidP="004D0622">
            <w:pPr>
              <w:autoSpaceDE w:val="0"/>
              <w:autoSpaceDN w:val="0"/>
              <w:adjustRightInd w:val="0"/>
              <w:spacing w:line="320" w:lineRule="atLeast"/>
              <w:ind w:left="60" w:right="60"/>
              <w:jc w:val="center"/>
              <w:rPr>
                <w:rFonts w:ascii="Times New Roman" w:hAnsi="Times New Roman" w:cs="Times New Roman"/>
                <w:color w:val="264A60"/>
                <w:lang w:bidi="km-KH"/>
              </w:rPr>
            </w:pPr>
            <w:r w:rsidRPr="00606BC2">
              <w:rPr>
                <w:rFonts w:ascii="Times New Roman" w:hAnsi="Times New Roman" w:cs="Times New Roman"/>
                <w:color w:val="264A60"/>
                <w:lang w:bidi="km-KH"/>
              </w:rPr>
              <w:t>Mean Square</w:t>
            </w:r>
          </w:p>
        </w:tc>
        <w:tc>
          <w:tcPr>
            <w:tcW w:w="1025" w:type="dxa"/>
          </w:tcPr>
          <w:p w14:paraId="0731BBE4" w14:textId="77777777" w:rsidR="004D0622" w:rsidRPr="00606BC2" w:rsidRDefault="004D0622" w:rsidP="004D0622">
            <w:pPr>
              <w:autoSpaceDE w:val="0"/>
              <w:autoSpaceDN w:val="0"/>
              <w:adjustRightInd w:val="0"/>
              <w:spacing w:line="320" w:lineRule="atLeast"/>
              <w:ind w:left="60" w:right="60"/>
              <w:jc w:val="center"/>
              <w:rPr>
                <w:rFonts w:ascii="Times New Roman" w:hAnsi="Times New Roman" w:cs="Times New Roman"/>
                <w:color w:val="264A60"/>
                <w:lang w:bidi="km-KH"/>
              </w:rPr>
            </w:pPr>
            <w:r w:rsidRPr="00606BC2">
              <w:rPr>
                <w:rFonts w:ascii="Times New Roman" w:hAnsi="Times New Roman" w:cs="Times New Roman"/>
                <w:color w:val="264A60"/>
                <w:lang w:bidi="km-KH"/>
              </w:rPr>
              <w:t>F</w:t>
            </w:r>
          </w:p>
        </w:tc>
        <w:tc>
          <w:tcPr>
            <w:tcW w:w="1025" w:type="dxa"/>
          </w:tcPr>
          <w:p w14:paraId="1A01C36A" w14:textId="77777777" w:rsidR="004D0622" w:rsidRPr="00606BC2" w:rsidRDefault="004D0622" w:rsidP="004D0622">
            <w:pPr>
              <w:autoSpaceDE w:val="0"/>
              <w:autoSpaceDN w:val="0"/>
              <w:adjustRightInd w:val="0"/>
              <w:spacing w:line="320" w:lineRule="atLeast"/>
              <w:ind w:left="60" w:right="60"/>
              <w:jc w:val="center"/>
              <w:rPr>
                <w:rFonts w:ascii="Times New Roman" w:hAnsi="Times New Roman" w:cs="Times New Roman"/>
                <w:color w:val="264A60"/>
                <w:lang w:bidi="km-KH"/>
              </w:rPr>
            </w:pPr>
            <w:r w:rsidRPr="00606BC2">
              <w:rPr>
                <w:rFonts w:ascii="Times New Roman" w:hAnsi="Times New Roman" w:cs="Times New Roman"/>
                <w:color w:val="264A60"/>
                <w:lang w:bidi="km-KH"/>
              </w:rPr>
              <w:t>Sig.</w:t>
            </w:r>
          </w:p>
        </w:tc>
      </w:tr>
      <w:tr w:rsidR="004D0622" w:rsidRPr="00606BC2" w14:paraId="13EA855F" w14:textId="77777777" w:rsidTr="00606BC2">
        <w:trPr>
          <w:jc w:val="center"/>
        </w:trPr>
        <w:tc>
          <w:tcPr>
            <w:tcW w:w="2075" w:type="dxa"/>
          </w:tcPr>
          <w:p w14:paraId="6CB4BB8C" w14:textId="77777777" w:rsidR="004D0622" w:rsidRPr="00606BC2" w:rsidRDefault="004D0622" w:rsidP="004D0622">
            <w:pPr>
              <w:autoSpaceDE w:val="0"/>
              <w:autoSpaceDN w:val="0"/>
              <w:adjustRightInd w:val="0"/>
              <w:spacing w:line="320" w:lineRule="atLeast"/>
              <w:ind w:left="60" w:right="60"/>
              <w:rPr>
                <w:rFonts w:ascii="Times New Roman" w:hAnsi="Times New Roman" w:cs="Times New Roman"/>
                <w:color w:val="264A60"/>
                <w:lang w:bidi="km-KH"/>
              </w:rPr>
            </w:pPr>
            <w:r w:rsidRPr="00606BC2">
              <w:rPr>
                <w:rFonts w:ascii="Times New Roman" w:hAnsi="Times New Roman" w:cs="Times New Roman"/>
                <w:color w:val="264A60"/>
                <w:lang w:bidi="km-KH"/>
              </w:rPr>
              <w:t>Between Groups</w:t>
            </w:r>
          </w:p>
        </w:tc>
        <w:tc>
          <w:tcPr>
            <w:tcW w:w="1820" w:type="dxa"/>
          </w:tcPr>
          <w:p w14:paraId="6C8BD35B"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.146</w:t>
            </w:r>
          </w:p>
        </w:tc>
        <w:tc>
          <w:tcPr>
            <w:tcW w:w="1025" w:type="dxa"/>
          </w:tcPr>
          <w:p w14:paraId="4B3840AB"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2</w:t>
            </w:r>
          </w:p>
        </w:tc>
        <w:tc>
          <w:tcPr>
            <w:tcW w:w="1408" w:type="dxa"/>
          </w:tcPr>
          <w:p w14:paraId="4815CEA4"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.073</w:t>
            </w:r>
          </w:p>
        </w:tc>
        <w:tc>
          <w:tcPr>
            <w:tcW w:w="1025" w:type="dxa"/>
          </w:tcPr>
          <w:p w14:paraId="07A54059"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.310</w:t>
            </w:r>
          </w:p>
        </w:tc>
        <w:tc>
          <w:tcPr>
            <w:tcW w:w="1025" w:type="dxa"/>
          </w:tcPr>
          <w:p w14:paraId="69A256D8"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.734</w:t>
            </w:r>
          </w:p>
        </w:tc>
      </w:tr>
      <w:tr w:rsidR="004D0622" w:rsidRPr="00606BC2" w14:paraId="17C958A3" w14:textId="77777777" w:rsidTr="00606BC2">
        <w:trPr>
          <w:jc w:val="center"/>
        </w:trPr>
        <w:tc>
          <w:tcPr>
            <w:tcW w:w="2075" w:type="dxa"/>
          </w:tcPr>
          <w:p w14:paraId="270B4C61" w14:textId="77777777" w:rsidR="004D0622" w:rsidRPr="00606BC2" w:rsidRDefault="004D0622" w:rsidP="004D0622">
            <w:pPr>
              <w:autoSpaceDE w:val="0"/>
              <w:autoSpaceDN w:val="0"/>
              <w:adjustRightInd w:val="0"/>
              <w:spacing w:line="320" w:lineRule="atLeast"/>
              <w:ind w:left="60" w:right="60"/>
              <w:rPr>
                <w:rFonts w:ascii="Times New Roman" w:hAnsi="Times New Roman" w:cs="Times New Roman"/>
                <w:color w:val="264A60"/>
                <w:lang w:bidi="km-KH"/>
              </w:rPr>
            </w:pPr>
            <w:r w:rsidRPr="00606BC2">
              <w:rPr>
                <w:rFonts w:ascii="Times New Roman" w:hAnsi="Times New Roman" w:cs="Times New Roman"/>
                <w:color w:val="264A60"/>
                <w:lang w:bidi="km-KH"/>
              </w:rPr>
              <w:t>Within Groups</w:t>
            </w:r>
          </w:p>
        </w:tc>
        <w:tc>
          <w:tcPr>
            <w:tcW w:w="1820" w:type="dxa"/>
          </w:tcPr>
          <w:p w14:paraId="777DE7EC"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95.484</w:t>
            </w:r>
          </w:p>
        </w:tc>
        <w:tc>
          <w:tcPr>
            <w:tcW w:w="1025" w:type="dxa"/>
          </w:tcPr>
          <w:p w14:paraId="34373BE6"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405</w:t>
            </w:r>
          </w:p>
        </w:tc>
        <w:tc>
          <w:tcPr>
            <w:tcW w:w="1408" w:type="dxa"/>
          </w:tcPr>
          <w:p w14:paraId="4601C770"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.236</w:t>
            </w:r>
          </w:p>
        </w:tc>
        <w:tc>
          <w:tcPr>
            <w:tcW w:w="1025" w:type="dxa"/>
          </w:tcPr>
          <w:p w14:paraId="4D4CE835" w14:textId="77777777" w:rsidR="004D0622" w:rsidRPr="00606BC2" w:rsidRDefault="004D0622" w:rsidP="004D0622">
            <w:pPr>
              <w:autoSpaceDE w:val="0"/>
              <w:autoSpaceDN w:val="0"/>
              <w:adjustRightInd w:val="0"/>
              <w:rPr>
                <w:rFonts w:ascii="Times New Roman" w:hAnsi="Times New Roman" w:cs="Times New Roman"/>
                <w:lang w:bidi="km-KH"/>
              </w:rPr>
            </w:pPr>
          </w:p>
        </w:tc>
        <w:tc>
          <w:tcPr>
            <w:tcW w:w="1025" w:type="dxa"/>
          </w:tcPr>
          <w:p w14:paraId="1A750EE6" w14:textId="77777777" w:rsidR="004D0622" w:rsidRPr="00606BC2" w:rsidRDefault="004D0622" w:rsidP="004D0622">
            <w:pPr>
              <w:autoSpaceDE w:val="0"/>
              <w:autoSpaceDN w:val="0"/>
              <w:adjustRightInd w:val="0"/>
              <w:rPr>
                <w:rFonts w:ascii="Times New Roman" w:hAnsi="Times New Roman" w:cs="Times New Roman"/>
                <w:lang w:bidi="km-KH"/>
              </w:rPr>
            </w:pPr>
          </w:p>
        </w:tc>
      </w:tr>
      <w:tr w:rsidR="004D0622" w:rsidRPr="00606BC2" w14:paraId="141A121F" w14:textId="77777777" w:rsidTr="00606BC2">
        <w:trPr>
          <w:jc w:val="center"/>
        </w:trPr>
        <w:tc>
          <w:tcPr>
            <w:tcW w:w="2075" w:type="dxa"/>
          </w:tcPr>
          <w:p w14:paraId="225A18D8" w14:textId="77777777" w:rsidR="004D0622" w:rsidRPr="00606BC2" w:rsidRDefault="004D0622" w:rsidP="004D0622">
            <w:pPr>
              <w:autoSpaceDE w:val="0"/>
              <w:autoSpaceDN w:val="0"/>
              <w:adjustRightInd w:val="0"/>
              <w:spacing w:line="320" w:lineRule="atLeast"/>
              <w:ind w:left="60" w:right="60"/>
              <w:rPr>
                <w:rFonts w:ascii="Times New Roman" w:hAnsi="Times New Roman" w:cs="Times New Roman"/>
                <w:color w:val="264A60"/>
                <w:lang w:bidi="km-KH"/>
              </w:rPr>
            </w:pPr>
            <w:r w:rsidRPr="00606BC2">
              <w:rPr>
                <w:rFonts w:ascii="Times New Roman" w:hAnsi="Times New Roman" w:cs="Times New Roman"/>
                <w:color w:val="264A60"/>
                <w:lang w:bidi="km-KH"/>
              </w:rPr>
              <w:t>Total</w:t>
            </w:r>
          </w:p>
        </w:tc>
        <w:tc>
          <w:tcPr>
            <w:tcW w:w="1820" w:type="dxa"/>
          </w:tcPr>
          <w:p w14:paraId="7577CFB6"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95.630</w:t>
            </w:r>
          </w:p>
        </w:tc>
        <w:tc>
          <w:tcPr>
            <w:tcW w:w="1025" w:type="dxa"/>
          </w:tcPr>
          <w:p w14:paraId="106870A2" w14:textId="77777777" w:rsidR="004D0622" w:rsidRPr="00606BC2" w:rsidRDefault="004D0622" w:rsidP="004D0622">
            <w:pPr>
              <w:autoSpaceDE w:val="0"/>
              <w:autoSpaceDN w:val="0"/>
              <w:adjustRightInd w:val="0"/>
              <w:spacing w:line="320" w:lineRule="atLeast"/>
              <w:ind w:left="60" w:right="60"/>
              <w:jc w:val="right"/>
              <w:rPr>
                <w:rFonts w:ascii="Times New Roman" w:hAnsi="Times New Roman" w:cs="Times New Roman"/>
                <w:color w:val="010205"/>
                <w:lang w:bidi="km-KH"/>
              </w:rPr>
            </w:pPr>
            <w:r w:rsidRPr="00606BC2">
              <w:rPr>
                <w:rFonts w:ascii="Times New Roman" w:hAnsi="Times New Roman" w:cs="Times New Roman"/>
                <w:color w:val="010205"/>
                <w:lang w:bidi="km-KH"/>
              </w:rPr>
              <w:t>407</w:t>
            </w:r>
          </w:p>
        </w:tc>
        <w:tc>
          <w:tcPr>
            <w:tcW w:w="1408" w:type="dxa"/>
          </w:tcPr>
          <w:p w14:paraId="11B59F8A" w14:textId="77777777" w:rsidR="004D0622" w:rsidRPr="00606BC2" w:rsidRDefault="004D0622" w:rsidP="004D0622">
            <w:pPr>
              <w:autoSpaceDE w:val="0"/>
              <w:autoSpaceDN w:val="0"/>
              <w:adjustRightInd w:val="0"/>
              <w:rPr>
                <w:rFonts w:ascii="Times New Roman" w:hAnsi="Times New Roman" w:cs="Times New Roman"/>
                <w:lang w:bidi="km-KH"/>
              </w:rPr>
            </w:pPr>
          </w:p>
        </w:tc>
        <w:tc>
          <w:tcPr>
            <w:tcW w:w="1025" w:type="dxa"/>
          </w:tcPr>
          <w:p w14:paraId="7FB63CCF" w14:textId="77777777" w:rsidR="004D0622" w:rsidRPr="00606BC2" w:rsidRDefault="004D0622" w:rsidP="004D0622">
            <w:pPr>
              <w:autoSpaceDE w:val="0"/>
              <w:autoSpaceDN w:val="0"/>
              <w:adjustRightInd w:val="0"/>
              <w:rPr>
                <w:rFonts w:ascii="Times New Roman" w:hAnsi="Times New Roman" w:cs="Times New Roman"/>
                <w:lang w:bidi="km-KH"/>
              </w:rPr>
            </w:pPr>
          </w:p>
        </w:tc>
        <w:tc>
          <w:tcPr>
            <w:tcW w:w="1025" w:type="dxa"/>
          </w:tcPr>
          <w:p w14:paraId="0D47BC93" w14:textId="77777777" w:rsidR="004D0622" w:rsidRPr="00606BC2" w:rsidRDefault="004D0622" w:rsidP="004D0622">
            <w:pPr>
              <w:autoSpaceDE w:val="0"/>
              <w:autoSpaceDN w:val="0"/>
              <w:adjustRightInd w:val="0"/>
              <w:rPr>
                <w:rFonts w:ascii="Times New Roman" w:hAnsi="Times New Roman" w:cs="Times New Roman"/>
                <w:lang w:bidi="km-KH"/>
              </w:rPr>
            </w:pPr>
          </w:p>
        </w:tc>
      </w:tr>
    </w:tbl>
    <w:p w14:paraId="4735E403" w14:textId="77777777" w:rsidR="004D0622" w:rsidRPr="004D0622" w:rsidRDefault="004D0622" w:rsidP="004D0622">
      <w:pPr>
        <w:autoSpaceDE w:val="0"/>
        <w:autoSpaceDN w:val="0"/>
        <w:adjustRightInd w:val="0"/>
        <w:spacing w:after="0" w:line="400" w:lineRule="atLeast"/>
        <w:rPr>
          <w:rFonts w:ascii="Times New Roman" w:hAnsi="Times New Roman" w:cs="Times New Roman"/>
          <w:sz w:val="24"/>
          <w:szCs w:val="24"/>
          <w:lang w:bidi="km-KH"/>
        </w:rPr>
      </w:pPr>
    </w:p>
    <w:p w14:paraId="0767CF8E" w14:textId="41900B4C" w:rsidR="004D0622" w:rsidRDefault="00761422" w:rsidP="00D73D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found </w:t>
      </w:r>
      <w:r w:rsidR="00800870">
        <w:rPr>
          <w:rFonts w:ascii="Times New Roman" w:hAnsi="Times New Roman" w:cs="Times New Roman"/>
          <w:sz w:val="24"/>
          <w:szCs w:val="24"/>
        </w:rPr>
        <w:t>not statistically significant differences among students’ family status in terms of learning outcome with F (2, 405) =.310, P=.734&gt;.05</w:t>
      </w:r>
      <w:r w:rsidR="005E4B9E">
        <w:rPr>
          <w:rFonts w:ascii="Times New Roman" w:hAnsi="Times New Roman" w:cs="Times New Roman"/>
          <w:sz w:val="24"/>
          <w:szCs w:val="24"/>
        </w:rPr>
        <w:t xml:space="preserve"> as shown in </w:t>
      </w:r>
      <w:r w:rsidR="005E4B9E" w:rsidRPr="005E4B9E">
        <w:rPr>
          <w:rFonts w:ascii="Times New Roman" w:hAnsi="Times New Roman" w:cs="Times New Roman"/>
          <w:b/>
          <w:bCs/>
          <w:sz w:val="24"/>
          <w:szCs w:val="24"/>
        </w:rPr>
        <w:t>Table 5</w:t>
      </w:r>
      <w:r w:rsidR="00800870">
        <w:rPr>
          <w:rFonts w:ascii="Times New Roman" w:hAnsi="Times New Roman" w:cs="Times New Roman"/>
          <w:sz w:val="24"/>
          <w:szCs w:val="24"/>
        </w:rPr>
        <w:t xml:space="preserve">. It means that hypothesis 5 was not supportive. </w:t>
      </w:r>
    </w:p>
    <w:p w14:paraId="50AD4FDD" w14:textId="77777777" w:rsidR="00F12574" w:rsidRDefault="00F12574" w:rsidP="00D73D51">
      <w:pPr>
        <w:spacing w:line="360" w:lineRule="auto"/>
        <w:jc w:val="both"/>
        <w:rPr>
          <w:rFonts w:ascii="Times New Roman" w:hAnsi="Times New Roman" w:cs="Times New Roman"/>
          <w:sz w:val="24"/>
          <w:szCs w:val="24"/>
        </w:rPr>
      </w:pPr>
    </w:p>
    <w:p w14:paraId="4FAA9627" w14:textId="77777777" w:rsidR="0096357A" w:rsidRDefault="0096357A" w:rsidP="00D73D51">
      <w:pPr>
        <w:spacing w:line="360" w:lineRule="auto"/>
        <w:jc w:val="both"/>
        <w:rPr>
          <w:rFonts w:ascii="Times New Roman" w:hAnsi="Times New Roman" w:cs="Times New Roman"/>
          <w:sz w:val="24"/>
          <w:szCs w:val="24"/>
        </w:rPr>
      </w:pPr>
    </w:p>
    <w:p w14:paraId="4E0E4703" w14:textId="51CA7D48" w:rsidR="00E17553" w:rsidRPr="00E17553" w:rsidRDefault="00E17553" w:rsidP="00E17553">
      <w:pPr>
        <w:spacing w:line="360" w:lineRule="auto"/>
        <w:jc w:val="center"/>
        <w:rPr>
          <w:rFonts w:ascii="Times New Roman" w:hAnsi="Times New Roman" w:cs="Times New Roman"/>
          <w:b/>
          <w:bCs/>
          <w:sz w:val="24"/>
          <w:szCs w:val="24"/>
        </w:rPr>
      </w:pPr>
      <w:r w:rsidRPr="00E17553">
        <w:rPr>
          <w:rFonts w:ascii="Times New Roman" w:hAnsi="Times New Roman" w:cs="Times New Roman"/>
          <w:b/>
          <w:bCs/>
          <w:sz w:val="24"/>
          <w:szCs w:val="24"/>
        </w:rPr>
        <w:lastRenderedPageBreak/>
        <w:t>Discussion and Conclusion</w:t>
      </w:r>
    </w:p>
    <w:p w14:paraId="30CB51D1" w14:textId="208E8AEE" w:rsidR="007C1163" w:rsidRDefault="007C1163" w:rsidP="00DE7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underscored the relationship between school health and students’ learning outcomes. </w:t>
      </w:r>
      <w:r w:rsidR="00456BE1">
        <w:rPr>
          <w:rFonts w:ascii="Times New Roman" w:hAnsi="Times New Roman" w:cs="Times New Roman"/>
          <w:sz w:val="24"/>
          <w:szCs w:val="24"/>
        </w:rPr>
        <w:t>Students with good health reflect their effective learning outcomes (</w:t>
      </w:r>
      <w:r w:rsidR="00456BE1" w:rsidRPr="0084192B">
        <w:rPr>
          <w:rFonts w:ascii="Times New Roman" w:hAnsi="Times New Roman" w:cs="Times New Roman"/>
          <w:color w:val="222222"/>
          <w:sz w:val="24"/>
          <w:szCs w:val="24"/>
          <w:shd w:val="clear" w:color="auto" w:fill="FFFFFF"/>
        </w:rPr>
        <w:t>Kelley &amp; Silva-Padrón,</w:t>
      </w:r>
      <w:r w:rsidR="00456BE1">
        <w:rPr>
          <w:rFonts w:ascii="Times New Roman" w:hAnsi="Times New Roman" w:cs="Times New Roman"/>
          <w:color w:val="222222"/>
          <w:sz w:val="24"/>
          <w:szCs w:val="24"/>
          <w:shd w:val="clear" w:color="auto" w:fill="FFFFFF"/>
        </w:rPr>
        <w:t xml:space="preserve"> </w:t>
      </w:r>
      <w:r w:rsidR="00456BE1" w:rsidRPr="0084192B">
        <w:rPr>
          <w:rFonts w:ascii="Times New Roman" w:hAnsi="Times New Roman" w:cs="Times New Roman"/>
          <w:color w:val="222222"/>
          <w:sz w:val="24"/>
          <w:szCs w:val="24"/>
          <w:shd w:val="clear" w:color="auto" w:fill="FFFFFF"/>
        </w:rPr>
        <w:t>2023</w:t>
      </w:r>
      <w:r w:rsidR="00456BE1">
        <w:rPr>
          <w:rFonts w:ascii="Times New Roman" w:hAnsi="Times New Roman" w:cs="Times New Roman"/>
          <w:sz w:val="24"/>
          <w:szCs w:val="24"/>
        </w:rPr>
        <w:t xml:space="preserve">). This might be due to some existing mechanism and frameworks have been implemented. For example, </w:t>
      </w:r>
      <w:r w:rsidR="004F4005">
        <w:rPr>
          <w:rFonts w:ascii="Times New Roman" w:hAnsi="Times New Roman" w:cs="Times New Roman"/>
          <w:sz w:val="24"/>
          <w:szCs w:val="24"/>
        </w:rPr>
        <w:t xml:space="preserve">each school in Cambodia is required to have 1) school health promotion committee; 2) well-designed health infrastructure such as standardized health cabinet, green school environment, </w:t>
      </w:r>
      <w:r w:rsidR="00AB3D98">
        <w:rPr>
          <w:rFonts w:ascii="Times New Roman" w:hAnsi="Times New Roman" w:cs="Times New Roman"/>
          <w:sz w:val="24"/>
          <w:szCs w:val="24"/>
        </w:rPr>
        <w:t>and clean schools; 3) tap water for utilities; 4) health</w:t>
      </w:r>
      <w:r w:rsidR="00DE4144">
        <w:rPr>
          <w:rFonts w:ascii="Times New Roman" w:hAnsi="Times New Roman" w:cs="Times New Roman"/>
          <w:sz w:val="24"/>
          <w:szCs w:val="24"/>
        </w:rPr>
        <w:t>y</w:t>
      </w:r>
      <w:r w:rsidR="00AB3D98">
        <w:rPr>
          <w:rFonts w:ascii="Times New Roman" w:hAnsi="Times New Roman" w:cs="Times New Roman"/>
          <w:sz w:val="24"/>
          <w:szCs w:val="24"/>
        </w:rPr>
        <w:t xml:space="preserve"> food deliveries with sufficient nutrition and vitamins; and 5) healthy activity programs such as physical exercises, </w:t>
      </w:r>
      <w:r w:rsidR="00DE4144">
        <w:rPr>
          <w:rFonts w:ascii="Times New Roman" w:hAnsi="Times New Roman" w:cs="Times New Roman"/>
          <w:sz w:val="24"/>
          <w:szCs w:val="24"/>
        </w:rPr>
        <w:t>play grounds for sporting</w:t>
      </w:r>
      <w:r w:rsidR="00AB3D98">
        <w:rPr>
          <w:rFonts w:ascii="Times New Roman" w:hAnsi="Times New Roman" w:cs="Times New Roman"/>
          <w:sz w:val="24"/>
          <w:szCs w:val="24"/>
        </w:rPr>
        <w:t>, and healthy reproduction awareness-raising activities (</w:t>
      </w:r>
      <w:proofErr w:type="spellStart"/>
      <w:r w:rsidR="00F27B6B">
        <w:rPr>
          <w:rFonts w:ascii="Times New Roman" w:hAnsi="Times New Roman" w:cs="Times New Roman"/>
          <w:sz w:val="24"/>
          <w:szCs w:val="24"/>
        </w:rPr>
        <w:t>MoEYS</w:t>
      </w:r>
      <w:proofErr w:type="spellEnd"/>
      <w:r w:rsidR="00F27B6B">
        <w:rPr>
          <w:rFonts w:ascii="Times New Roman" w:hAnsi="Times New Roman" w:cs="Times New Roman"/>
          <w:sz w:val="24"/>
          <w:szCs w:val="24"/>
        </w:rPr>
        <w:t>, 2023</w:t>
      </w:r>
      <w:r w:rsidR="00AB3D98">
        <w:rPr>
          <w:rFonts w:ascii="Times New Roman" w:hAnsi="Times New Roman" w:cs="Times New Roman"/>
          <w:sz w:val="24"/>
          <w:szCs w:val="24"/>
        </w:rPr>
        <w:t>).</w:t>
      </w:r>
      <w:r w:rsidR="00F27B6B">
        <w:rPr>
          <w:rFonts w:ascii="Times New Roman" w:hAnsi="Times New Roman" w:cs="Times New Roman"/>
          <w:sz w:val="24"/>
          <w:szCs w:val="24"/>
        </w:rPr>
        <w:t xml:space="preserve"> </w:t>
      </w:r>
      <w:r w:rsidR="00D60F34">
        <w:rPr>
          <w:rFonts w:ascii="Times New Roman" w:hAnsi="Times New Roman" w:cs="Times New Roman"/>
          <w:sz w:val="24"/>
          <w:szCs w:val="24"/>
        </w:rPr>
        <w:t xml:space="preserve">The policy on school health focuses on promoting health condition of students and education officers equipping them with necessary health skills to </w:t>
      </w:r>
      <w:r w:rsidR="000C42A8">
        <w:rPr>
          <w:rFonts w:ascii="Times New Roman" w:hAnsi="Times New Roman" w:cs="Times New Roman"/>
          <w:sz w:val="24"/>
          <w:szCs w:val="24"/>
        </w:rPr>
        <w:t>live in a</w:t>
      </w:r>
      <w:r w:rsidR="00D60F34">
        <w:rPr>
          <w:rFonts w:ascii="Times New Roman" w:hAnsi="Times New Roman" w:cs="Times New Roman"/>
          <w:sz w:val="24"/>
          <w:szCs w:val="24"/>
        </w:rPr>
        <w:t xml:space="preserve"> healthy </w:t>
      </w:r>
      <w:r w:rsidR="000C42A8">
        <w:rPr>
          <w:rFonts w:ascii="Times New Roman" w:hAnsi="Times New Roman" w:cs="Times New Roman"/>
          <w:sz w:val="24"/>
          <w:szCs w:val="24"/>
        </w:rPr>
        <w:t xml:space="preserve">manner </w:t>
      </w:r>
      <w:r w:rsidR="00D60F34">
        <w:rPr>
          <w:rFonts w:ascii="Times New Roman" w:hAnsi="Times New Roman" w:cs="Times New Roman"/>
          <w:sz w:val="24"/>
          <w:szCs w:val="24"/>
        </w:rPr>
        <w:t>(</w:t>
      </w:r>
      <w:proofErr w:type="spellStart"/>
      <w:r w:rsidR="00D60F34">
        <w:rPr>
          <w:rFonts w:ascii="Times New Roman" w:hAnsi="Times New Roman" w:cs="Times New Roman"/>
          <w:sz w:val="24"/>
          <w:szCs w:val="24"/>
        </w:rPr>
        <w:t>MoEYS</w:t>
      </w:r>
      <w:proofErr w:type="spellEnd"/>
      <w:r w:rsidR="00D60F34">
        <w:rPr>
          <w:rFonts w:ascii="Times New Roman" w:hAnsi="Times New Roman" w:cs="Times New Roman"/>
          <w:sz w:val="24"/>
          <w:szCs w:val="24"/>
        </w:rPr>
        <w:t>, 2006).</w:t>
      </w:r>
      <w:r w:rsidR="005F1676">
        <w:rPr>
          <w:rFonts w:ascii="Times New Roman" w:hAnsi="Times New Roman" w:cs="Times New Roman"/>
          <w:sz w:val="24"/>
          <w:szCs w:val="24"/>
        </w:rPr>
        <w:t xml:space="preserve"> The government has paid high attention </w:t>
      </w:r>
      <w:r w:rsidR="000C42A8">
        <w:rPr>
          <w:rFonts w:ascii="Times New Roman" w:hAnsi="Times New Roman" w:cs="Times New Roman"/>
          <w:sz w:val="24"/>
          <w:szCs w:val="24"/>
        </w:rPr>
        <w:t>to</w:t>
      </w:r>
      <w:r w:rsidR="005F1676">
        <w:rPr>
          <w:rFonts w:ascii="Times New Roman" w:hAnsi="Times New Roman" w:cs="Times New Roman"/>
          <w:sz w:val="24"/>
          <w:szCs w:val="24"/>
        </w:rPr>
        <w:t xml:space="preserve"> school health promotion by making supportive policies and action plans providing fundamental health services and tap water to students and education officers countrywide (</w:t>
      </w:r>
      <w:proofErr w:type="spellStart"/>
      <w:r w:rsidR="005F1676">
        <w:rPr>
          <w:rFonts w:ascii="Times New Roman" w:hAnsi="Times New Roman" w:cs="Times New Roman"/>
          <w:sz w:val="24"/>
          <w:szCs w:val="24"/>
        </w:rPr>
        <w:t>MoEYS</w:t>
      </w:r>
      <w:proofErr w:type="spellEnd"/>
      <w:r w:rsidR="005F1676">
        <w:rPr>
          <w:rFonts w:ascii="Times New Roman" w:hAnsi="Times New Roman" w:cs="Times New Roman"/>
          <w:sz w:val="24"/>
          <w:szCs w:val="24"/>
        </w:rPr>
        <w:t>, 2022).</w:t>
      </w:r>
      <w:r w:rsidR="00C336A8">
        <w:rPr>
          <w:rFonts w:ascii="Times New Roman" w:hAnsi="Times New Roman" w:cs="Times New Roman"/>
          <w:sz w:val="24"/>
          <w:szCs w:val="24"/>
        </w:rPr>
        <w:t xml:space="preserve"> </w:t>
      </w:r>
      <w:r w:rsidR="00BC548F">
        <w:rPr>
          <w:rFonts w:ascii="Times New Roman" w:hAnsi="Times New Roman" w:cs="Times New Roman"/>
          <w:sz w:val="24"/>
          <w:szCs w:val="24"/>
        </w:rPr>
        <w:t xml:space="preserve">Aligning with better school health programs, better learning outcomes highlighted an </w:t>
      </w:r>
      <w:r w:rsidR="002F36CD">
        <w:rPr>
          <w:rFonts w:ascii="Times New Roman" w:hAnsi="Times New Roman" w:cs="Times New Roman"/>
          <w:sz w:val="24"/>
          <w:szCs w:val="24"/>
        </w:rPr>
        <w:t>increasing pass rate</w:t>
      </w:r>
      <w:r w:rsidR="00BC548F">
        <w:rPr>
          <w:rFonts w:ascii="Times New Roman" w:hAnsi="Times New Roman" w:cs="Times New Roman"/>
          <w:sz w:val="24"/>
          <w:szCs w:val="24"/>
        </w:rPr>
        <w:t xml:space="preserve"> </w:t>
      </w:r>
      <w:r w:rsidR="001E2E56">
        <w:rPr>
          <w:rFonts w:ascii="Times New Roman" w:hAnsi="Times New Roman" w:cs="Times New Roman"/>
          <w:sz w:val="24"/>
          <w:szCs w:val="24"/>
        </w:rPr>
        <w:t xml:space="preserve">for students </w:t>
      </w:r>
      <w:r w:rsidR="00BC548F">
        <w:rPr>
          <w:rFonts w:ascii="Times New Roman" w:hAnsi="Times New Roman" w:cs="Times New Roman"/>
          <w:sz w:val="24"/>
          <w:szCs w:val="24"/>
        </w:rPr>
        <w:t xml:space="preserve">of grade 12 examination. For example, </w:t>
      </w:r>
      <w:r w:rsidR="006C5CF2">
        <w:rPr>
          <w:rFonts w:ascii="Times New Roman" w:hAnsi="Times New Roman" w:cs="Times New Roman"/>
          <w:sz w:val="24"/>
          <w:szCs w:val="24"/>
        </w:rPr>
        <w:t xml:space="preserve">a pass rate was 65.65% in 2021 and 72.33% in 2022. Therefore, the results were applicable for Cambodian context. </w:t>
      </w:r>
    </w:p>
    <w:p w14:paraId="6DD0DEFA" w14:textId="4AC10A46" w:rsidR="003D0EDC" w:rsidRDefault="003D0EDC" w:rsidP="00DE7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relationship between school health and students’ learning outcomes connects to many investigations of some empirical studies. </w:t>
      </w:r>
      <w:r w:rsidR="008034B9">
        <w:rPr>
          <w:rFonts w:ascii="Times New Roman" w:hAnsi="Times New Roman" w:cs="Times New Roman"/>
          <w:sz w:val="24"/>
          <w:szCs w:val="24"/>
        </w:rPr>
        <w:t xml:space="preserve">Learning outcomes and school health are interconnected in terms of </w:t>
      </w:r>
      <w:r w:rsidR="00E55026">
        <w:rPr>
          <w:rFonts w:ascii="Times New Roman" w:hAnsi="Times New Roman" w:cs="Times New Roman"/>
          <w:sz w:val="24"/>
          <w:szCs w:val="24"/>
        </w:rPr>
        <w:t>health service deliveries, and graduation and employment rates</w:t>
      </w:r>
      <w:r w:rsidR="008034B9">
        <w:rPr>
          <w:rFonts w:ascii="Times New Roman" w:hAnsi="Times New Roman" w:cs="Times New Roman"/>
          <w:sz w:val="24"/>
          <w:szCs w:val="24"/>
        </w:rPr>
        <w:t xml:space="preserve"> (Kelley &amp; Silva-</w:t>
      </w:r>
      <w:r w:rsidR="008C49B4" w:rsidRPr="008C49B4">
        <w:rPr>
          <w:rFonts w:ascii="Times New Roman" w:hAnsi="Times New Roman" w:cs="Times New Roman"/>
          <w:color w:val="222222"/>
          <w:sz w:val="24"/>
          <w:szCs w:val="24"/>
          <w:shd w:val="clear" w:color="auto" w:fill="FFFFFF"/>
        </w:rPr>
        <w:t xml:space="preserve"> </w:t>
      </w:r>
      <w:r w:rsidR="008C49B4" w:rsidRPr="0084192B">
        <w:rPr>
          <w:rFonts w:ascii="Times New Roman" w:hAnsi="Times New Roman" w:cs="Times New Roman"/>
          <w:color w:val="222222"/>
          <w:sz w:val="24"/>
          <w:szCs w:val="24"/>
          <w:shd w:val="clear" w:color="auto" w:fill="FFFFFF"/>
        </w:rPr>
        <w:t>Padrón</w:t>
      </w:r>
      <w:r w:rsidR="008034B9">
        <w:rPr>
          <w:rFonts w:ascii="Times New Roman" w:hAnsi="Times New Roman" w:cs="Times New Roman"/>
          <w:sz w:val="24"/>
          <w:szCs w:val="24"/>
        </w:rPr>
        <w:t xml:space="preserve">, 2023). </w:t>
      </w:r>
      <w:r w:rsidR="009A16A1">
        <w:rPr>
          <w:rFonts w:ascii="Times New Roman" w:hAnsi="Times New Roman" w:cs="Times New Roman"/>
          <w:sz w:val="24"/>
          <w:szCs w:val="24"/>
        </w:rPr>
        <w:t xml:space="preserve">School health like diet quality significantly influences </w:t>
      </w:r>
      <w:r w:rsidR="008C2836">
        <w:rPr>
          <w:rFonts w:ascii="Times New Roman" w:hAnsi="Times New Roman" w:cs="Times New Roman"/>
          <w:sz w:val="24"/>
          <w:szCs w:val="24"/>
        </w:rPr>
        <w:t xml:space="preserve">positive </w:t>
      </w:r>
      <w:r w:rsidR="00BA3EFC">
        <w:rPr>
          <w:rFonts w:ascii="Times New Roman" w:hAnsi="Times New Roman" w:cs="Times New Roman"/>
          <w:sz w:val="24"/>
          <w:szCs w:val="24"/>
        </w:rPr>
        <w:t>learning</w:t>
      </w:r>
      <w:r w:rsidR="008C2836">
        <w:rPr>
          <w:rFonts w:ascii="Times New Roman" w:hAnsi="Times New Roman" w:cs="Times New Roman"/>
          <w:sz w:val="24"/>
          <w:szCs w:val="24"/>
        </w:rPr>
        <w:t xml:space="preserve"> </w:t>
      </w:r>
      <w:r w:rsidR="00BA3EFC">
        <w:rPr>
          <w:rFonts w:ascii="Times New Roman" w:hAnsi="Times New Roman" w:cs="Times New Roman"/>
          <w:sz w:val="24"/>
          <w:szCs w:val="24"/>
        </w:rPr>
        <w:t>outcomes</w:t>
      </w:r>
      <w:r w:rsidR="00863687">
        <w:rPr>
          <w:rFonts w:ascii="Times New Roman" w:hAnsi="Times New Roman" w:cs="Times New Roman"/>
          <w:sz w:val="24"/>
          <w:szCs w:val="24"/>
        </w:rPr>
        <w:t xml:space="preserve"> with </w:t>
      </w:r>
      <w:r w:rsidR="00BA3EFC">
        <w:rPr>
          <w:rFonts w:ascii="Times New Roman" w:hAnsi="Times New Roman" w:cs="Times New Roman"/>
          <w:sz w:val="24"/>
          <w:szCs w:val="24"/>
        </w:rPr>
        <w:t>an increasing employment rate</w:t>
      </w:r>
      <w:r w:rsidR="008C2836">
        <w:rPr>
          <w:rFonts w:ascii="Times New Roman" w:hAnsi="Times New Roman" w:cs="Times New Roman"/>
          <w:sz w:val="24"/>
          <w:szCs w:val="24"/>
        </w:rPr>
        <w:t xml:space="preserve"> (</w:t>
      </w:r>
      <w:r w:rsidR="00BF1189">
        <w:rPr>
          <w:rFonts w:ascii="Times New Roman" w:hAnsi="Times New Roman" w:cs="Times New Roman"/>
          <w:sz w:val="24"/>
          <w:szCs w:val="24"/>
        </w:rPr>
        <w:t>Florence</w:t>
      </w:r>
      <w:r w:rsidR="0092752F">
        <w:rPr>
          <w:rFonts w:ascii="Times New Roman" w:hAnsi="Times New Roman" w:cs="Times New Roman"/>
          <w:sz w:val="24"/>
          <w:szCs w:val="24"/>
        </w:rPr>
        <w:t xml:space="preserve"> et al.,</w:t>
      </w:r>
      <w:r w:rsidR="00BF1189">
        <w:rPr>
          <w:rFonts w:ascii="Times New Roman" w:hAnsi="Times New Roman" w:cs="Times New Roman"/>
          <w:sz w:val="24"/>
          <w:szCs w:val="24"/>
        </w:rPr>
        <w:t xml:space="preserve"> 2008</w:t>
      </w:r>
      <w:r w:rsidR="008C2836">
        <w:rPr>
          <w:rFonts w:ascii="Times New Roman" w:hAnsi="Times New Roman" w:cs="Times New Roman"/>
          <w:sz w:val="24"/>
          <w:szCs w:val="24"/>
        </w:rPr>
        <w:t>).</w:t>
      </w:r>
      <w:r w:rsidR="00105259">
        <w:rPr>
          <w:rFonts w:ascii="Times New Roman" w:hAnsi="Times New Roman" w:cs="Times New Roman"/>
          <w:sz w:val="24"/>
          <w:szCs w:val="24"/>
        </w:rPr>
        <w:t xml:space="preserve"> </w:t>
      </w:r>
      <w:r w:rsidR="00BA3EFC">
        <w:rPr>
          <w:rFonts w:ascii="Times New Roman" w:hAnsi="Times New Roman" w:cs="Times New Roman"/>
          <w:sz w:val="24"/>
          <w:szCs w:val="24"/>
        </w:rPr>
        <w:t>Learning</w:t>
      </w:r>
      <w:r w:rsidR="00105259">
        <w:rPr>
          <w:rFonts w:ascii="Times New Roman" w:hAnsi="Times New Roman" w:cs="Times New Roman"/>
          <w:sz w:val="24"/>
          <w:szCs w:val="24"/>
        </w:rPr>
        <w:t xml:space="preserve"> outcomes of students are </w:t>
      </w:r>
      <w:r w:rsidR="00CC3111">
        <w:rPr>
          <w:rFonts w:ascii="Times New Roman" w:hAnsi="Times New Roman" w:cs="Times New Roman"/>
          <w:sz w:val="24"/>
          <w:szCs w:val="24"/>
        </w:rPr>
        <w:t>affected</w:t>
      </w:r>
      <w:r w:rsidR="00105259">
        <w:rPr>
          <w:rFonts w:ascii="Times New Roman" w:hAnsi="Times New Roman" w:cs="Times New Roman"/>
          <w:sz w:val="24"/>
          <w:szCs w:val="24"/>
        </w:rPr>
        <w:t xml:space="preserve"> by school health with school-based services (Mays, 2020). </w:t>
      </w:r>
      <w:r w:rsidR="003D1E98">
        <w:rPr>
          <w:rFonts w:ascii="Times New Roman" w:hAnsi="Times New Roman" w:cs="Times New Roman"/>
          <w:sz w:val="24"/>
          <w:szCs w:val="24"/>
        </w:rPr>
        <w:t xml:space="preserve">School health reflects academic achievements of students both in policies and practices </w:t>
      </w:r>
      <w:r w:rsidR="00312982">
        <w:rPr>
          <w:rFonts w:ascii="Times New Roman" w:hAnsi="Times New Roman" w:cs="Times New Roman"/>
          <w:sz w:val="24"/>
          <w:szCs w:val="24"/>
        </w:rPr>
        <w:t xml:space="preserve">increasing test scores and academic grades </w:t>
      </w:r>
      <w:r w:rsidR="003D1E98">
        <w:rPr>
          <w:rFonts w:ascii="Times New Roman" w:hAnsi="Times New Roman" w:cs="Times New Roman"/>
          <w:sz w:val="24"/>
          <w:szCs w:val="24"/>
        </w:rPr>
        <w:t>(</w:t>
      </w:r>
      <w:proofErr w:type="spellStart"/>
      <w:r w:rsidR="003D1E98">
        <w:rPr>
          <w:rFonts w:ascii="Times New Roman" w:hAnsi="Times New Roman" w:cs="Times New Roman"/>
          <w:sz w:val="24"/>
          <w:szCs w:val="24"/>
        </w:rPr>
        <w:t>Fobbs</w:t>
      </w:r>
      <w:proofErr w:type="spellEnd"/>
      <w:r w:rsidR="003D1E98">
        <w:rPr>
          <w:rFonts w:ascii="Times New Roman" w:hAnsi="Times New Roman" w:cs="Times New Roman"/>
          <w:sz w:val="24"/>
          <w:szCs w:val="24"/>
        </w:rPr>
        <w:t xml:space="preserve">, 2015). </w:t>
      </w:r>
      <w:r w:rsidR="00BC3E2D">
        <w:rPr>
          <w:rFonts w:ascii="Times New Roman" w:hAnsi="Times New Roman" w:cs="Times New Roman"/>
          <w:sz w:val="24"/>
          <w:szCs w:val="24"/>
        </w:rPr>
        <w:t xml:space="preserve">Therefore, increasing access to the programs and activities of school health provides safe and supportive environment for students, teachers and school management (Mays, 2020). </w:t>
      </w:r>
    </w:p>
    <w:p w14:paraId="4E9F4092" w14:textId="0B8572A3" w:rsidR="00502EED" w:rsidRDefault="00502EED" w:rsidP="00DE7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highlighted some limitations for consideration. The scope of the study focuses on </w:t>
      </w:r>
      <w:r w:rsidR="00234DDD">
        <w:rPr>
          <w:rFonts w:ascii="Times New Roman" w:hAnsi="Times New Roman" w:cs="Times New Roman"/>
          <w:sz w:val="24"/>
          <w:szCs w:val="24"/>
        </w:rPr>
        <w:t xml:space="preserve">eight </w:t>
      </w:r>
      <w:r>
        <w:rPr>
          <w:rFonts w:ascii="Times New Roman" w:hAnsi="Times New Roman" w:cs="Times New Roman"/>
          <w:sz w:val="24"/>
          <w:szCs w:val="24"/>
        </w:rPr>
        <w:t xml:space="preserve">general and technical high schools (GTHSs). In order to generalize the sample size, the future research should be enlarged to general high schools. </w:t>
      </w:r>
      <w:r w:rsidR="00053CD2">
        <w:rPr>
          <w:rFonts w:ascii="Times New Roman" w:hAnsi="Times New Roman" w:cs="Times New Roman"/>
          <w:sz w:val="24"/>
          <w:szCs w:val="24"/>
        </w:rPr>
        <w:t xml:space="preserve">The study particularly targeted technical education students for year 2 and year 3 only capturing one part of school health and learning outcomes. The future research should be undertaken to engage their instructors as they </w:t>
      </w:r>
      <w:r w:rsidR="00053CD2">
        <w:rPr>
          <w:rFonts w:ascii="Times New Roman" w:hAnsi="Times New Roman" w:cs="Times New Roman"/>
          <w:sz w:val="24"/>
          <w:szCs w:val="24"/>
        </w:rPr>
        <w:lastRenderedPageBreak/>
        <w:t xml:space="preserve">are service deliverers and evaluator of students’ learning outcomes. </w:t>
      </w:r>
      <w:r w:rsidR="00E8394B">
        <w:rPr>
          <w:rFonts w:ascii="Times New Roman" w:hAnsi="Times New Roman" w:cs="Times New Roman"/>
          <w:sz w:val="24"/>
          <w:szCs w:val="24"/>
        </w:rPr>
        <w:t xml:space="preserve">Finally, technical education students majoring in six trades only. This might be due to data collection availability during meeting with the participants in person at schools. The future research should be considered to enlarge more trades. </w:t>
      </w:r>
    </w:p>
    <w:p w14:paraId="75D9F2C8" w14:textId="2AF2149C" w:rsidR="005135F9" w:rsidRDefault="004B054B" w:rsidP="000F462E">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To improve learning outcomes, policy makers should make efforts in promoting the competencies of current teachers (</w:t>
      </w:r>
      <w:proofErr w:type="spellStart"/>
      <w:r>
        <w:rPr>
          <w:rFonts w:ascii="Times New Roman" w:hAnsi="Times New Roman" w:cs="Times New Roman"/>
          <w:sz w:val="24"/>
          <w:szCs w:val="24"/>
        </w:rPr>
        <w:t>Afkar</w:t>
      </w:r>
      <w:proofErr w:type="spellEnd"/>
      <w:r>
        <w:rPr>
          <w:rFonts w:ascii="Times New Roman" w:hAnsi="Times New Roman" w:cs="Times New Roman"/>
          <w:sz w:val="24"/>
          <w:szCs w:val="24"/>
        </w:rPr>
        <w:t xml:space="preserve"> et al., 2023). </w:t>
      </w:r>
      <w:r w:rsidR="00DE7D0F" w:rsidRPr="00DE7D0F">
        <w:rPr>
          <w:rFonts w:ascii="Times New Roman" w:hAnsi="Times New Roman" w:cs="Times New Roman"/>
          <w:sz w:val="24"/>
          <w:szCs w:val="24"/>
        </w:rPr>
        <w:t>School canteen policy and guideline</w:t>
      </w:r>
      <w:r w:rsidR="007E0FE0">
        <w:rPr>
          <w:rFonts w:ascii="Times New Roman" w:hAnsi="Times New Roman" w:cs="Times New Roman"/>
          <w:sz w:val="24"/>
          <w:szCs w:val="24"/>
        </w:rPr>
        <w:t>s</w:t>
      </w:r>
      <w:r w:rsidR="00DE7D0F" w:rsidRPr="00DE7D0F">
        <w:rPr>
          <w:rFonts w:ascii="Times New Roman" w:hAnsi="Times New Roman" w:cs="Times New Roman"/>
          <w:sz w:val="24"/>
          <w:szCs w:val="24"/>
        </w:rPr>
        <w:t xml:space="preserve"> should be formulated to ensure students are nutritious and healthy while eating in school</w:t>
      </w:r>
      <w:r w:rsidR="00A75725">
        <w:rPr>
          <w:rFonts w:ascii="Times New Roman" w:hAnsi="Times New Roman" w:cs="Times New Roman"/>
          <w:sz w:val="24"/>
          <w:szCs w:val="24"/>
        </w:rPr>
        <w:t>s</w:t>
      </w:r>
      <w:r w:rsidR="00DE7D0F">
        <w:rPr>
          <w:rFonts w:ascii="Times New Roman" w:hAnsi="Times New Roman" w:cs="Times New Roman"/>
          <w:sz w:val="24"/>
          <w:szCs w:val="24"/>
        </w:rPr>
        <w:t xml:space="preserve">. </w:t>
      </w:r>
      <w:r w:rsidR="00453706">
        <w:rPr>
          <w:rFonts w:ascii="Times New Roman" w:hAnsi="Times New Roman" w:cs="Times New Roman"/>
          <w:sz w:val="24"/>
          <w:szCs w:val="24"/>
        </w:rPr>
        <w:t xml:space="preserve">School health officers should be equipped with appropriate school health skills </w:t>
      </w:r>
      <w:r w:rsidR="00A75725">
        <w:rPr>
          <w:rFonts w:ascii="Times New Roman" w:hAnsi="Times New Roman" w:cs="Times New Roman"/>
          <w:sz w:val="24"/>
          <w:szCs w:val="24"/>
        </w:rPr>
        <w:t xml:space="preserve">adapting </w:t>
      </w:r>
      <w:r w:rsidR="00C67D0D">
        <w:rPr>
          <w:rFonts w:ascii="Times New Roman" w:hAnsi="Times New Roman" w:cs="Times New Roman"/>
          <w:sz w:val="24"/>
          <w:szCs w:val="24"/>
        </w:rPr>
        <w:t>to the school context along with supporting facilities and equipment to manage school health problems effectively (</w:t>
      </w:r>
      <w:r w:rsidR="00C67D0D" w:rsidRPr="00D24D94">
        <w:rPr>
          <w:rFonts w:ascii="Times New Roman" w:hAnsi="Times New Roman" w:cs="Times New Roman"/>
          <w:color w:val="222222"/>
          <w:sz w:val="24"/>
          <w:szCs w:val="24"/>
          <w:shd w:val="clear" w:color="auto" w:fill="FFFFFF"/>
        </w:rPr>
        <w:t>Nguyen</w:t>
      </w:r>
      <w:r w:rsidR="00AA1183">
        <w:rPr>
          <w:rFonts w:ascii="Times New Roman" w:hAnsi="Times New Roman" w:cs="Times New Roman"/>
          <w:color w:val="222222"/>
          <w:sz w:val="24"/>
          <w:szCs w:val="24"/>
          <w:shd w:val="clear" w:color="auto" w:fill="FFFFFF"/>
        </w:rPr>
        <w:t xml:space="preserve"> et al.</w:t>
      </w:r>
      <w:r w:rsidR="00C67D0D" w:rsidRPr="00D24D94">
        <w:rPr>
          <w:rFonts w:ascii="Times New Roman" w:hAnsi="Times New Roman" w:cs="Times New Roman"/>
          <w:color w:val="222222"/>
          <w:sz w:val="24"/>
          <w:szCs w:val="24"/>
          <w:shd w:val="clear" w:color="auto" w:fill="FFFFFF"/>
        </w:rPr>
        <w:t>, 2020)</w:t>
      </w:r>
      <w:r w:rsidR="00C67D0D">
        <w:rPr>
          <w:rFonts w:ascii="Times New Roman" w:hAnsi="Times New Roman" w:cs="Times New Roman"/>
          <w:color w:val="222222"/>
          <w:sz w:val="24"/>
          <w:szCs w:val="24"/>
          <w:shd w:val="clear" w:color="auto" w:fill="FFFFFF"/>
        </w:rPr>
        <w:t>.</w:t>
      </w:r>
      <w:r w:rsidR="009B39F1">
        <w:rPr>
          <w:rFonts w:ascii="Times New Roman" w:hAnsi="Times New Roman" w:cs="Times New Roman"/>
          <w:color w:val="222222"/>
          <w:sz w:val="24"/>
          <w:szCs w:val="24"/>
          <w:shd w:val="clear" w:color="auto" w:fill="FFFFFF"/>
        </w:rPr>
        <w:t xml:space="preserve"> </w:t>
      </w:r>
      <w:r w:rsidR="005D0754">
        <w:rPr>
          <w:rFonts w:ascii="Times New Roman" w:hAnsi="Times New Roman" w:cs="Times New Roman"/>
          <w:color w:val="222222"/>
          <w:sz w:val="24"/>
          <w:szCs w:val="24"/>
          <w:shd w:val="clear" w:color="auto" w:fill="FFFFFF"/>
        </w:rPr>
        <w:t xml:space="preserve">The government should ensure the quality health service delivery to students ranging from capacity-building programs for school health officers </w:t>
      </w:r>
      <w:r w:rsidR="00A75725">
        <w:rPr>
          <w:rFonts w:ascii="Times New Roman" w:hAnsi="Times New Roman" w:cs="Times New Roman"/>
          <w:color w:val="222222"/>
          <w:sz w:val="24"/>
          <w:szCs w:val="24"/>
          <w:shd w:val="clear" w:color="auto" w:fill="FFFFFF"/>
        </w:rPr>
        <w:t>to</w:t>
      </w:r>
      <w:r w:rsidR="005D0754">
        <w:rPr>
          <w:rFonts w:ascii="Times New Roman" w:hAnsi="Times New Roman" w:cs="Times New Roman"/>
          <w:color w:val="222222"/>
          <w:sz w:val="24"/>
          <w:szCs w:val="24"/>
          <w:shd w:val="clear" w:color="auto" w:fill="FFFFFF"/>
        </w:rPr>
        <w:t xml:space="preserve"> facility and equipment installation (</w:t>
      </w:r>
      <w:r w:rsidR="00456BE1" w:rsidRPr="0084192B">
        <w:rPr>
          <w:rFonts w:ascii="Times New Roman" w:hAnsi="Times New Roman" w:cs="Times New Roman"/>
          <w:color w:val="222222"/>
          <w:sz w:val="24"/>
          <w:szCs w:val="24"/>
          <w:shd w:val="clear" w:color="auto" w:fill="FFFFFF"/>
        </w:rPr>
        <w:t>Kelley &amp; Silva-Padrón,</w:t>
      </w:r>
      <w:r w:rsidR="00456BE1">
        <w:rPr>
          <w:rFonts w:ascii="Times New Roman" w:hAnsi="Times New Roman" w:cs="Times New Roman"/>
          <w:color w:val="222222"/>
          <w:sz w:val="24"/>
          <w:szCs w:val="24"/>
          <w:shd w:val="clear" w:color="auto" w:fill="FFFFFF"/>
        </w:rPr>
        <w:t xml:space="preserve"> </w:t>
      </w:r>
      <w:r w:rsidR="00456BE1" w:rsidRPr="0084192B">
        <w:rPr>
          <w:rFonts w:ascii="Times New Roman" w:hAnsi="Times New Roman" w:cs="Times New Roman"/>
          <w:color w:val="222222"/>
          <w:sz w:val="24"/>
          <w:szCs w:val="24"/>
          <w:shd w:val="clear" w:color="auto" w:fill="FFFFFF"/>
        </w:rPr>
        <w:t>2023</w:t>
      </w:r>
      <w:r w:rsidR="005D0754">
        <w:rPr>
          <w:rFonts w:ascii="Times New Roman" w:hAnsi="Times New Roman" w:cs="Times New Roman"/>
          <w:color w:val="222222"/>
          <w:sz w:val="24"/>
          <w:szCs w:val="24"/>
          <w:shd w:val="clear" w:color="auto" w:fill="FFFFFF"/>
        </w:rPr>
        <w:t>).</w:t>
      </w:r>
      <w:r w:rsidR="00456BE1">
        <w:rPr>
          <w:rFonts w:ascii="Times New Roman" w:hAnsi="Times New Roman" w:cs="Times New Roman"/>
          <w:color w:val="222222"/>
          <w:sz w:val="24"/>
          <w:szCs w:val="24"/>
          <w:shd w:val="clear" w:color="auto" w:fill="FFFFFF"/>
        </w:rPr>
        <w:t xml:space="preserve"> </w:t>
      </w:r>
      <w:r w:rsidR="00EE6940">
        <w:rPr>
          <w:rFonts w:ascii="Times New Roman" w:hAnsi="Times New Roman" w:cs="Times New Roman"/>
          <w:color w:val="222222"/>
          <w:sz w:val="24"/>
          <w:szCs w:val="24"/>
          <w:shd w:val="clear" w:color="auto" w:fill="FFFFFF"/>
        </w:rPr>
        <w:t xml:space="preserve">Therefore, more efforts and investments in school health programs should be considered with equitable access from students, teachers and </w:t>
      </w:r>
      <w:r w:rsidR="00A75725">
        <w:rPr>
          <w:rFonts w:ascii="Times New Roman" w:hAnsi="Times New Roman" w:cs="Times New Roman"/>
          <w:color w:val="222222"/>
          <w:sz w:val="24"/>
          <w:szCs w:val="24"/>
          <w:shd w:val="clear" w:color="auto" w:fill="FFFFFF"/>
        </w:rPr>
        <w:t xml:space="preserve">administrators </w:t>
      </w:r>
      <w:r w:rsidR="00EE6940">
        <w:rPr>
          <w:rFonts w:ascii="Times New Roman" w:hAnsi="Times New Roman" w:cs="Times New Roman"/>
          <w:color w:val="222222"/>
          <w:sz w:val="24"/>
          <w:szCs w:val="24"/>
          <w:shd w:val="clear" w:color="auto" w:fill="FFFFFF"/>
        </w:rPr>
        <w:t>(</w:t>
      </w:r>
      <w:r w:rsidR="00E86966">
        <w:rPr>
          <w:rFonts w:ascii="Times New Roman" w:hAnsi="Times New Roman" w:cs="Times New Roman"/>
          <w:sz w:val="24"/>
          <w:szCs w:val="24"/>
        </w:rPr>
        <w:t>Florence</w:t>
      </w:r>
      <w:r w:rsidR="00AA1183">
        <w:rPr>
          <w:rFonts w:ascii="Times New Roman" w:hAnsi="Times New Roman" w:cs="Times New Roman"/>
          <w:sz w:val="24"/>
          <w:szCs w:val="24"/>
        </w:rPr>
        <w:t xml:space="preserve"> et al.</w:t>
      </w:r>
      <w:r w:rsidR="00E86966">
        <w:rPr>
          <w:rFonts w:ascii="Times New Roman" w:hAnsi="Times New Roman" w:cs="Times New Roman"/>
          <w:sz w:val="24"/>
          <w:szCs w:val="24"/>
        </w:rPr>
        <w:t>, 2008</w:t>
      </w:r>
      <w:r w:rsidR="00EE6940">
        <w:rPr>
          <w:rFonts w:ascii="Times New Roman" w:hAnsi="Times New Roman" w:cs="Times New Roman"/>
          <w:color w:val="222222"/>
          <w:sz w:val="24"/>
          <w:szCs w:val="24"/>
          <w:shd w:val="clear" w:color="auto" w:fill="FFFFFF"/>
        </w:rPr>
        <w:t xml:space="preserve">). </w:t>
      </w:r>
      <w:r w:rsidR="00E86966">
        <w:rPr>
          <w:rFonts w:ascii="Times New Roman" w:hAnsi="Times New Roman" w:cs="Times New Roman"/>
          <w:color w:val="222222"/>
          <w:sz w:val="24"/>
          <w:szCs w:val="24"/>
          <w:shd w:val="clear" w:color="auto" w:fill="FFFFFF"/>
        </w:rPr>
        <w:t xml:space="preserve"> </w:t>
      </w:r>
    </w:p>
    <w:p w14:paraId="45A73E3E" w14:textId="5E5A3C61" w:rsidR="00AB6B56" w:rsidRDefault="00766E5D" w:rsidP="000F462E">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Chronic physical and mental health matters negatively impact students’ ability levels in succeeding their academic goals (Mays, 2020). </w:t>
      </w:r>
      <w:r w:rsidR="008362CD">
        <w:rPr>
          <w:rFonts w:ascii="Times New Roman" w:hAnsi="Times New Roman" w:cs="Times New Roman"/>
          <w:color w:val="222222"/>
          <w:sz w:val="24"/>
          <w:szCs w:val="24"/>
          <w:shd w:val="clear" w:color="auto" w:fill="FFFFFF"/>
        </w:rPr>
        <w:t xml:space="preserve">However, the results might pave the way for strategic actions to support school health programs delivering quality services with competent health officers and sufficient equipment and facilities. If it can be done successfully, students’ learning outcomes are increasing rapidly with reduced dropout and repetition rates. </w:t>
      </w:r>
      <w:r w:rsidR="00145533">
        <w:rPr>
          <w:rFonts w:ascii="Times New Roman" w:hAnsi="Times New Roman" w:cs="Times New Roman"/>
          <w:color w:val="222222"/>
          <w:sz w:val="24"/>
          <w:szCs w:val="24"/>
          <w:shd w:val="clear" w:color="auto" w:fill="FFFFFF"/>
        </w:rPr>
        <w:t>Therefore, enhanced policies and practices of school health might inspire students to have healthy lifestyles contributing to the healthy communities (</w:t>
      </w:r>
      <w:proofErr w:type="spellStart"/>
      <w:r w:rsidR="000A1647">
        <w:rPr>
          <w:rFonts w:ascii="Times New Roman" w:hAnsi="Times New Roman" w:cs="Times New Roman"/>
          <w:color w:val="222222"/>
          <w:sz w:val="24"/>
          <w:szCs w:val="24"/>
          <w:shd w:val="clear" w:color="auto" w:fill="FFFFFF"/>
        </w:rPr>
        <w:t>Fobbs</w:t>
      </w:r>
      <w:proofErr w:type="spellEnd"/>
      <w:r w:rsidR="000A1647">
        <w:rPr>
          <w:rFonts w:ascii="Times New Roman" w:hAnsi="Times New Roman" w:cs="Times New Roman"/>
          <w:color w:val="222222"/>
          <w:sz w:val="24"/>
          <w:szCs w:val="24"/>
          <w:shd w:val="clear" w:color="auto" w:fill="FFFFFF"/>
        </w:rPr>
        <w:t>, 2015</w:t>
      </w:r>
      <w:r w:rsidR="00145533">
        <w:rPr>
          <w:rFonts w:ascii="Times New Roman" w:hAnsi="Times New Roman" w:cs="Times New Roman"/>
          <w:color w:val="222222"/>
          <w:sz w:val="24"/>
          <w:szCs w:val="24"/>
          <w:shd w:val="clear" w:color="auto" w:fill="FFFFFF"/>
        </w:rPr>
        <w:t>).</w:t>
      </w:r>
      <w:r w:rsidR="000A1647">
        <w:rPr>
          <w:rFonts w:ascii="Times New Roman" w:hAnsi="Times New Roman" w:cs="Times New Roman"/>
          <w:color w:val="222222"/>
          <w:sz w:val="24"/>
          <w:szCs w:val="24"/>
          <w:shd w:val="clear" w:color="auto" w:fill="FFFFFF"/>
        </w:rPr>
        <w:t xml:space="preserve"> </w:t>
      </w:r>
    </w:p>
    <w:p w14:paraId="06A8F209" w14:textId="593462D9" w:rsidR="00CD72A6" w:rsidRPr="00CD72A6" w:rsidRDefault="00CD72A6" w:rsidP="00CD72A6">
      <w:pPr>
        <w:spacing w:after="0" w:line="360" w:lineRule="auto"/>
        <w:jc w:val="both"/>
        <w:rPr>
          <w:rFonts w:ascii="Times New Roman" w:hAnsi="Times New Roman" w:cs="Times New Roman"/>
          <w:b/>
          <w:bCs/>
          <w:sz w:val="24"/>
          <w:szCs w:val="24"/>
        </w:rPr>
      </w:pPr>
      <w:r w:rsidRPr="00CD72A6">
        <w:rPr>
          <w:rFonts w:ascii="Times New Roman" w:hAnsi="Times New Roman" w:cs="Times New Roman"/>
          <w:b/>
          <w:bCs/>
          <w:sz w:val="24"/>
          <w:szCs w:val="24"/>
        </w:rPr>
        <w:t>Conflict of Interest</w:t>
      </w:r>
    </w:p>
    <w:p w14:paraId="3C5F0F1F" w14:textId="1BD438FB" w:rsidR="00CD72A6" w:rsidRDefault="00CD72A6" w:rsidP="00DE7D0F">
      <w:pPr>
        <w:spacing w:line="360" w:lineRule="auto"/>
        <w:jc w:val="both"/>
        <w:rPr>
          <w:rFonts w:ascii="Times New Roman" w:hAnsi="Times New Roman" w:cs="Times New Roman"/>
          <w:sz w:val="24"/>
          <w:szCs w:val="24"/>
        </w:rPr>
      </w:pPr>
      <w:r>
        <w:rPr>
          <w:rFonts w:ascii="Times New Roman" w:hAnsi="Times New Roman" w:cs="Times New Roman"/>
          <w:sz w:val="24"/>
          <w:szCs w:val="24"/>
        </w:rPr>
        <w:t>Authors declared no conflict of interest.</w:t>
      </w:r>
      <w:r w:rsidR="00312DCF">
        <w:rPr>
          <w:rFonts w:ascii="Times New Roman" w:hAnsi="Times New Roman" w:cs="Times New Roman"/>
          <w:sz w:val="24"/>
          <w:szCs w:val="24"/>
        </w:rPr>
        <w:t xml:space="preserve"> </w:t>
      </w:r>
    </w:p>
    <w:p w14:paraId="05BB8A9F" w14:textId="023BCC00" w:rsidR="003F2672" w:rsidRPr="003F2672" w:rsidRDefault="003F2672" w:rsidP="003F2672">
      <w:pPr>
        <w:spacing w:after="0" w:line="360" w:lineRule="auto"/>
        <w:jc w:val="both"/>
        <w:rPr>
          <w:rFonts w:ascii="Times New Roman" w:hAnsi="Times New Roman" w:cs="Times New Roman"/>
          <w:b/>
          <w:bCs/>
          <w:sz w:val="24"/>
          <w:szCs w:val="24"/>
        </w:rPr>
      </w:pPr>
      <w:r w:rsidRPr="003F2672">
        <w:rPr>
          <w:rFonts w:ascii="Times New Roman" w:hAnsi="Times New Roman" w:cs="Times New Roman"/>
          <w:b/>
          <w:bCs/>
          <w:sz w:val="24"/>
          <w:szCs w:val="24"/>
        </w:rPr>
        <w:t>Funding</w:t>
      </w:r>
    </w:p>
    <w:p w14:paraId="4B0DC5BC" w14:textId="6038AC3E" w:rsidR="003F2672" w:rsidRDefault="003F2672" w:rsidP="00DE7D0F">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got financial supports from Ministry of Education, Youth and Sport, Kingdom of Cambodia</w:t>
      </w:r>
      <w:r w:rsidR="000D6801">
        <w:rPr>
          <w:rFonts w:ascii="Times New Roman" w:hAnsi="Times New Roman" w:cs="Times New Roman"/>
          <w:sz w:val="24"/>
          <w:szCs w:val="24"/>
        </w:rPr>
        <w:t xml:space="preserve"> to undertake the research study. </w:t>
      </w:r>
      <w:r>
        <w:rPr>
          <w:rFonts w:ascii="Times New Roman" w:hAnsi="Times New Roman" w:cs="Times New Roman"/>
          <w:sz w:val="24"/>
          <w:szCs w:val="24"/>
        </w:rPr>
        <w:t xml:space="preserve"> </w:t>
      </w:r>
    </w:p>
    <w:p w14:paraId="6D154560" w14:textId="77777777" w:rsidR="007A29F3" w:rsidRDefault="007A29F3" w:rsidP="00DE7D0F">
      <w:pPr>
        <w:spacing w:line="360" w:lineRule="auto"/>
        <w:jc w:val="both"/>
        <w:rPr>
          <w:rFonts w:ascii="Times New Roman" w:hAnsi="Times New Roman" w:cs="Times New Roman"/>
          <w:sz w:val="24"/>
          <w:szCs w:val="24"/>
        </w:rPr>
      </w:pPr>
    </w:p>
    <w:p w14:paraId="550366EE" w14:textId="77777777" w:rsidR="007A29F3" w:rsidRDefault="007A29F3" w:rsidP="00DE7D0F">
      <w:pPr>
        <w:spacing w:line="360" w:lineRule="auto"/>
        <w:jc w:val="both"/>
        <w:rPr>
          <w:rFonts w:ascii="Times New Roman" w:hAnsi="Times New Roman" w:cs="Times New Roman"/>
          <w:sz w:val="24"/>
          <w:szCs w:val="24"/>
        </w:rPr>
      </w:pPr>
    </w:p>
    <w:p w14:paraId="0EEF9B9E" w14:textId="77777777" w:rsidR="007A29F3" w:rsidRDefault="007A29F3" w:rsidP="00DE7D0F">
      <w:pPr>
        <w:spacing w:line="360" w:lineRule="auto"/>
        <w:jc w:val="both"/>
        <w:rPr>
          <w:rFonts w:ascii="Times New Roman" w:hAnsi="Times New Roman" w:cs="Times New Roman"/>
          <w:sz w:val="24"/>
          <w:szCs w:val="24"/>
        </w:rPr>
      </w:pPr>
    </w:p>
    <w:p w14:paraId="6CC62811" w14:textId="77777777" w:rsidR="007A29F3" w:rsidRDefault="007A29F3" w:rsidP="00DE7D0F">
      <w:pPr>
        <w:spacing w:line="360" w:lineRule="auto"/>
        <w:jc w:val="both"/>
        <w:rPr>
          <w:rFonts w:ascii="Times New Roman" w:hAnsi="Times New Roman" w:cs="Times New Roman"/>
          <w:sz w:val="24"/>
          <w:szCs w:val="24"/>
        </w:rPr>
      </w:pPr>
    </w:p>
    <w:p w14:paraId="18DE6F28" w14:textId="3BDFD440" w:rsidR="00CD72A6" w:rsidRPr="005F3598" w:rsidRDefault="00CD72A6" w:rsidP="005F3598">
      <w:pPr>
        <w:spacing w:line="360" w:lineRule="auto"/>
        <w:jc w:val="center"/>
        <w:rPr>
          <w:rFonts w:ascii="Times New Roman" w:hAnsi="Times New Roman" w:cs="Times New Roman"/>
          <w:b/>
          <w:bCs/>
          <w:sz w:val="24"/>
          <w:szCs w:val="24"/>
        </w:rPr>
      </w:pPr>
      <w:r w:rsidRPr="005F3598">
        <w:rPr>
          <w:rFonts w:ascii="Times New Roman" w:hAnsi="Times New Roman" w:cs="Times New Roman"/>
          <w:b/>
          <w:bCs/>
          <w:sz w:val="24"/>
          <w:szCs w:val="24"/>
        </w:rPr>
        <w:lastRenderedPageBreak/>
        <w:t>References</w:t>
      </w:r>
    </w:p>
    <w:p w14:paraId="21123BE1" w14:textId="2A6C11E1" w:rsidR="00072B3A" w:rsidRDefault="00072B3A"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6A0BBE">
        <w:rPr>
          <w:rFonts w:ascii="Times New Roman" w:hAnsi="Times New Roman" w:cs="Times New Roman"/>
          <w:color w:val="222222"/>
          <w:sz w:val="24"/>
          <w:szCs w:val="24"/>
          <w:shd w:val="clear" w:color="auto" w:fill="FFFFFF"/>
        </w:rPr>
        <w:t>Adam, S. (2006). An introduction to learning outcomes.</w:t>
      </w:r>
    </w:p>
    <w:p w14:paraId="2BD5BE80" w14:textId="77777777" w:rsidR="00B66E7F" w:rsidRDefault="00B66E7F" w:rsidP="009D4093">
      <w:pPr>
        <w:snapToGrid w:val="0"/>
        <w:spacing w:before="120" w:after="120" w:line="240" w:lineRule="auto"/>
        <w:rPr>
          <w:rFonts w:ascii="Times New Roman" w:hAnsi="Times New Roman" w:cs="Times New Roman"/>
          <w:color w:val="222222"/>
          <w:sz w:val="24"/>
          <w:szCs w:val="24"/>
          <w:shd w:val="clear" w:color="auto" w:fill="FFFFFF"/>
        </w:rPr>
      </w:pPr>
      <w:proofErr w:type="spellStart"/>
      <w:r w:rsidRPr="00D45F36">
        <w:rPr>
          <w:rFonts w:ascii="Times New Roman" w:hAnsi="Times New Roman" w:cs="Times New Roman"/>
          <w:color w:val="222222"/>
          <w:sz w:val="24"/>
          <w:szCs w:val="24"/>
          <w:shd w:val="clear" w:color="auto" w:fill="FFFFFF"/>
        </w:rPr>
        <w:t>Afkar</w:t>
      </w:r>
      <w:proofErr w:type="spellEnd"/>
      <w:r w:rsidRPr="00D45F36">
        <w:rPr>
          <w:rFonts w:ascii="Times New Roman" w:hAnsi="Times New Roman" w:cs="Times New Roman"/>
          <w:color w:val="222222"/>
          <w:sz w:val="24"/>
          <w:szCs w:val="24"/>
          <w:shd w:val="clear" w:color="auto" w:fill="FFFFFF"/>
        </w:rPr>
        <w:t xml:space="preserve">, R., </w:t>
      </w:r>
      <w:proofErr w:type="spellStart"/>
      <w:r w:rsidRPr="00D45F36">
        <w:rPr>
          <w:rFonts w:ascii="Times New Roman" w:hAnsi="Times New Roman" w:cs="Times New Roman"/>
          <w:color w:val="222222"/>
          <w:sz w:val="24"/>
          <w:szCs w:val="24"/>
          <w:shd w:val="clear" w:color="auto" w:fill="FFFFFF"/>
        </w:rPr>
        <w:t>Béteille</w:t>
      </w:r>
      <w:proofErr w:type="spellEnd"/>
      <w:r w:rsidRPr="00D45F36">
        <w:rPr>
          <w:rFonts w:ascii="Times New Roman" w:hAnsi="Times New Roman" w:cs="Times New Roman"/>
          <w:color w:val="222222"/>
          <w:sz w:val="24"/>
          <w:szCs w:val="24"/>
          <w:shd w:val="clear" w:color="auto" w:fill="FFFFFF"/>
        </w:rPr>
        <w:t xml:space="preserve">, T., Breeding, M. E., Linden, T., Mason, A. D., Mattoo, A., ... &amp; Yarrow, </w:t>
      </w:r>
    </w:p>
    <w:p w14:paraId="28024727" w14:textId="1E67F900" w:rsidR="00B66E7F" w:rsidRPr="00B66E7F" w:rsidRDefault="00B66E7F" w:rsidP="009D4093">
      <w:pPr>
        <w:snapToGrid w:val="0"/>
        <w:spacing w:before="120" w:after="120" w:line="240" w:lineRule="auto"/>
        <w:ind w:left="720"/>
        <w:rPr>
          <w:rFonts w:ascii="Times New Roman" w:hAnsi="Times New Roman" w:cs="Times New Roman"/>
          <w:sz w:val="24"/>
          <w:szCs w:val="24"/>
        </w:rPr>
      </w:pPr>
      <w:r w:rsidRPr="00D45F36">
        <w:rPr>
          <w:rFonts w:ascii="Times New Roman" w:hAnsi="Times New Roman" w:cs="Times New Roman"/>
          <w:color w:val="222222"/>
          <w:sz w:val="24"/>
          <w:szCs w:val="24"/>
          <w:shd w:val="clear" w:color="auto" w:fill="FFFFFF"/>
        </w:rPr>
        <w:t xml:space="preserve">N. (2023). </w:t>
      </w:r>
      <w:r w:rsidRPr="00B66E7F">
        <w:rPr>
          <w:rFonts w:ascii="Times New Roman" w:hAnsi="Times New Roman" w:cs="Times New Roman"/>
          <w:i/>
          <w:iCs/>
          <w:color w:val="222222"/>
          <w:sz w:val="24"/>
          <w:szCs w:val="24"/>
          <w:shd w:val="clear" w:color="auto" w:fill="FFFFFF"/>
        </w:rPr>
        <w:t xml:space="preserve">Fixing the </w:t>
      </w:r>
      <w:r>
        <w:rPr>
          <w:rFonts w:ascii="Times New Roman" w:hAnsi="Times New Roman" w:cs="Times New Roman"/>
          <w:i/>
          <w:iCs/>
          <w:color w:val="222222"/>
          <w:sz w:val="24"/>
          <w:szCs w:val="24"/>
          <w:shd w:val="clear" w:color="auto" w:fill="FFFFFF"/>
        </w:rPr>
        <w:t>f</w:t>
      </w:r>
      <w:r w:rsidRPr="00B66E7F">
        <w:rPr>
          <w:rFonts w:ascii="Times New Roman" w:hAnsi="Times New Roman" w:cs="Times New Roman"/>
          <w:i/>
          <w:iCs/>
          <w:color w:val="222222"/>
          <w:sz w:val="24"/>
          <w:szCs w:val="24"/>
          <w:shd w:val="clear" w:color="auto" w:fill="FFFFFF"/>
        </w:rPr>
        <w:t xml:space="preserve">oundation: Teachers and </w:t>
      </w:r>
      <w:r>
        <w:rPr>
          <w:rFonts w:ascii="Times New Roman" w:hAnsi="Times New Roman" w:cs="Times New Roman"/>
          <w:i/>
          <w:iCs/>
          <w:color w:val="222222"/>
          <w:sz w:val="24"/>
          <w:szCs w:val="24"/>
          <w:shd w:val="clear" w:color="auto" w:fill="FFFFFF"/>
        </w:rPr>
        <w:t>b</w:t>
      </w:r>
      <w:r w:rsidRPr="00B66E7F">
        <w:rPr>
          <w:rFonts w:ascii="Times New Roman" w:hAnsi="Times New Roman" w:cs="Times New Roman"/>
          <w:i/>
          <w:iCs/>
          <w:color w:val="222222"/>
          <w:sz w:val="24"/>
          <w:szCs w:val="24"/>
          <w:shd w:val="clear" w:color="auto" w:fill="FFFFFF"/>
        </w:rPr>
        <w:t xml:space="preserve">asic </w:t>
      </w:r>
      <w:r>
        <w:rPr>
          <w:rFonts w:ascii="Times New Roman" w:hAnsi="Times New Roman" w:cs="Times New Roman"/>
          <w:i/>
          <w:iCs/>
          <w:color w:val="222222"/>
          <w:sz w:val="24"/>
          <w:szCs w:val="24"/>
          <w:shd w:val="clear" w:color="auto" w:fill="FFFFFF"/>
        </w:rPr>
        <w:t>e</w:t>
      </w:r>
      <w:r w:rsidRPr="00B66E7F">
        <w:rPr>
          <w:rFonts w:ascii="Times New Roman" w:hAnsi="Times New Roman" w:cs="Times New Roman"/>
          <w:i/>
          <w:iCs/>
          <w:color w:val="222222"/>
          <w:sz w:val="24"/>
          <w:szCs w:val="24"/>
          <w:shd w:val="clear" w:color="auto" w:fill="FFFFFF"/>
        </w:rPr>
        <w:t>ducation in East Asia and Pacific</w:t>
      </w:r>
      <w:r w:rsidRPr="00D45F3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The World Bank </w:t>
      </w:r>
    </w:p>
    <w:p w14:paraId="01DF90F6" w14:textId="77777777" w:rsidR="00B06846" w:rsidRDefault="00C55FCB" w:rsidP="009D4093">
      <w:pPr>
        <w:snapToGrid w:val="0"/>
        <w:spacing w:before="120" w:after="120" w:line="240" w:lineRule="auto"/>
        <w:jc w:val="both"/>
        <w:rPr>
          <w:rFonts w:ascii="Times New Roman" w:hAnsi="Times New Roman" w:cs="Times New Roman"/>
          <w:color w:val="222222"/>
          <w:sz w:val="24"/>
          <w:szCs w:val="24"/>
          <w:shd w:val="clear" w:color="auto" w:fill="FFFFFF"/>
        </w:rPr>
      </w:pPr>
      <w:proofErr w:type="spellStart"/>
      <w:r w:rsidRPr="007D7AFA">
        <w:rPr>
          <w:rFonts w:ascii="Times New Roman" w:hAnsi="Times New Roman" w:cs="Times New Roman"/>
          <w:color w:val="222222"/>
          <w:sz w:val="24"/>
          <w:szCs w:val="24"/>
          <w:shd w:val="clear" w:color="auto" w:fill="FFFFFF"/>
        </w:rPr>
        <w:t>Alonge</w:t>
      </w:r>
      <w:proofErr w:type="spellEnd"/>
      <w:r w:rsidRPr="007D7AFA">
        <w:rPr>
          <w:rFonts w:ascii="Times New Roman" w:hAnsi="Times New Roman" w:cs="Times New Roman"/>
          <w:color w:val="222222"/>
          <w:sz w:val="24"/>
          <w:szCs w:val="24"/>
          <w:shd w:val="clear" w:color="auto" w:fill="FFFFFF"/>
        </w:rPr>
        <w:t xml:space="preserve">, R. A., &amp; </w:t>
      </w:r>
      <w:proofErr w:type="spellStart"/>
      <w:r w:rsidRPr="007D7AFA">
        <w:rPr>
          <w:rFonts w:ascii="Times New Roman" w:hAnsi="Times New Roman" w:cs="Times New Roman"/>
          <w:color w:val="222222"/>
          <w:sz w:val="24"/>
          <w:szCs w:val="24"/>
          <w:shd w:val="clear" w:color="auto" w:fill="FFFFFF"/>
        </w:rPr>
        <w:t>Okunade</w:t>
      </w:r>
      <w:proofErr w:type="spellEnd"/>
      <w:r w:rsidRPr="007D7AFA">
        <w:rPr>
          <w:rFonts w:ascii="Times New Roman" w:hAnsi="Times New Roman" w:cs="Times New Roman"/>
          <w:color w:val="222222"/>
          <w:sz w:val="24"/>
          <w:szCs w:val="24"/>
          <w:shd w:val="clear" w:color="auto" w:fill="FFFFFF"/>
        </w:rPr>
        <w:t xml:space="preserve">, H. F. (2013). Gender and residential differences in academic </w:t>
      </w:r>
    </w:p>
    <w:p w14:paraId="0EF6BAC2" w14:textId="4E773E19" w:rsidR="00C55FCB" w:rsidRPr="00B06846" w:rsidRDefault="00C55FCB" w:rsidP="009D4093">
      <w:pPr>
        <w:snapToGrid w:val="0"/>
        <w:spacing w:before="120" w:after="120" w:line="240" w:lineRule="auto"/>
        <w:ind w:left="720"/>
        <w:jc w:val="both"/>
        <w:rPr>
          <w:rFonts w:ascii="Times New Roman" w:hAnsi="Times New Roman" w:cs="Times New Roman"/>
          <w:i/>
          <w:iCs/>
          <w:color w:val="222222"/>
          <w:sz w:val="24"/>
          <w:szCs w:val="24"/>
          <w:shd w:val="clear" w:color="auto" w:fill="FFFFFF"/>
        </w:rPr>
      </w:pPr>
      <w:r w:rsidRPr="007D7AFA">
        <w:rPr>
          <w:rFonts w:ascii="Times New Roman" w:hAnsi="Times New Roman" w:cs="Times New Roman"/>
          <w:color w:val="222222"/>
          <w:sz w:val="24"/>
          <w:szCs w:val="24"/>
          <w:shd w:val="clear" w:color="auto" w:fill="FFFFFF"/>
        </w:rPr>
        <w:t xml:space="preserve">performance of </w:t>
      </w:r>
      <w:r w:rsidR="0036710B">
        <w:rPr>
          <w:rFonts w:ascii="Times New Roman" w:hAnsi="Times New Roman" w:cs="Times New Roman"/>
          <w:color w:val="222222"/>
          <w:sz w:val="24"/>
          <w:szCs w:val="24"/>
          <w:shd w:val="clear" w:color="auto" w:fill="FFFFFF"/>
        </w:rPr>
        <w:t>s</w:t>
      </w:r>
      <w:r w:rsidRPr="007D7AFA">
        <w:rPr>
          <w:rFonts w:ascii="Times New Roman" w:hAnsi="Times New Roman" w:cs="Times New Roman"/>
          <w:color w:val="222222"/>
          <w:sz w:val="24"/>
          <w:szCs w:val="24"/>
          <w:shd w:val="clear" w:color="auto" w:fill="FFFFFF"/>
        </w:rPr>
        <w:t xml:space="preserve">ocial </w:t>
      </w:r>
      <w:r w:rsidR="0036710B">
        <w:rPr>
          <w:rFonts w:ascii="Times New Roman" w:hAnsi="Times New Roman" w:cs="Times New Roman"/>
          <w:color w:val="222222"/>
          <w:sz w:val="24"/>
          <w:szCs w:val="24"/>
          <w:shd w:val="clear" w:color="auto" w:fill="FFFFFF"/>
        </w:rPr>
        <w:t>s</w:t>
      </w:r>
      <w:r w:rsidRPr="007D7AFA">
        <w:rPr>
          <w:rFonts w:ascii="Times New Roman" w:hAnsi="Times New Roman" w:cs="Times New Roman"/>
          <w:color w:val="222222"/>
          <w:sz w:val="24"/>
          <w:szCs w:val="24"/>
          <w:shd w:val="clear" w:color="auto" w:fill="FFFFFF"/>
        </w:rPr>
        <w:t>tudies students of Ekiti State University, Ado-Ekiti. </w:t>
      </w:r>
      <w:r w:rsidRPr="007D7AFA">
        <w:rPr>
          <w:rFonts w:ascii="Times New Roman" w:hAnsi="Times New Roman" w:cs="Times New Roman"/>
          <w:i/>
          <w:iCs/>
          <w:color w:val="222222"/>
          <w:sz w:val="24"/>
          <w:szCs w:val="24"/>
          <w:shd w:val="clear" w:color="auto" w:fill="FFFFFF"/>
        </w:rPr>
        <w:t>Nigerian Journal of Social Studies</w:t>
      </w:r>
      <w:r w:rsidRPr="007D7AFA">
        <w:rPr>
          <w:rFonts w:ascii="Times New Roman" w:hAnsi="Times New Roman" w:cs="Times New Roman"/>
          <w:color w:val="222222"/>
          <w:sz w:val="24"/>
          <w:szCs w:val="24"/>
          <w:shd w:val="clear" w:color="auto" w:fill="FFFFFF"/>
        </w:rPr>
        <w:t>, </w:t>
      </w:r>
      <w:r w:rsidRPr="007D7AFA">
        <w:rPr>
          <w:rFonts w:ascii="Times New Roman" w:hAnsi="Times New Roman" w:cs="Times New Roman"/>
          <w:i/>
          <w:iCs/>
          <w:color w:val="222222"/>
          <w:sz w:val="24"/>
          <w:szCs w:val="24"/>
          <w:shd w:val="clear" w:color="auto" w:fill="FFFFFF"/>
        </w:rPr>
        <w:t>16</w:t>
      </w:r>
      <w:r w:rsidRPr="007D7AFA">
        <w:rPr>
          <w:rFonts w:ascii="Times New Roman" w:hAnsi="Times New Roman" w:cs="Times New Roman"/>
          <w:color w:val="222222"/>
          <w:sz w:val="24"/>
          <w:szCs w:val="24"/>
          <w:shd w:val="clear" w:color="auto" w:fill="FFFFFF"/>
        </w:rPr>
        <w:t>(2), 265-275.</w:t>
      </w:r>
      <w:r>
        <w:rPr>
          <w:rFonts w:ascii="Times New Roman" w:hAnsi="Times New Roman" w:cs="Times New Roman"/>
          <w:color w:val="222222"/>
          <w:sz w:val="24"/>
          <w:szCs w:val="24"/>
          <w:shd w:val="clear" w:color="auto" w:fill="FFFFFF"/>
        </w:rPr>
        <w:t xml:space="preserve"> </w:t>
      </w:r>
    </w:p>
    <w:p w14:paraId="5BE3EE40" w14:textId="61089392" w:rsidR="00A059F1" w:rsidRDefault="00A059F1" w:rsidP="009D4093">
      <w:pPr>
        <w:pStyle w:val="Default"/>
        <w:snapToGrid w:val="0"/>
        <w:spacing w:before="120" w:after="120"/>
        <w:jc w:val="both"/>
        <w:rPr>
          <w:color w:val="222222"/>
          <w:shd w:val="clear" w:color="auto" w:fill="FFFFFF"/>
        </w:rPr>
      </w:pPr>
      <w:r>
        <w:rPr>
          <w:color w:val="222222"/>
          <w:shd w:val="clear" w:color="auto" w:fill="FFFFFF"/>
        </w:rPr>
        <w:t xml:space="preserve">American School Health Association. (2023). </w:t>
      </w:r>
      <w:r w:rsidRPr="00A059F1">
        <w:rPr>
          <w:i/>
          <w:iCs/>
          <w:color w:val="222222"/>
          <w:shd w:val="clear" w:color="auto" w:fill="FFFFFF"/>
        </w:rPr>
        <w:t>What is school health</w:t>
      </w:r>
      <w:r>
        <w:rPr>
          <w:color w:val="222222"/>
          <w:shd w:val="clear" w:color="auto" w:fill="FFFFFF"/>
        </w:rPr>
        <w:t xml:space="preserve"> [Blog post]. Retrieved </w:t>
      </w:r>
    </w:p>
    <w:p w14:paraId="066919B7" w14:textId="5237ECEF" w:rsidR="00A059F1" w:rsidRDefault="00A059F1" w:rsidP="009D4093">
      <w:pPr>
        <w:pStyle w:val="Default"/>
        <w:snapToGrid w:val="0"/>
        <w:spacing w:before="120" w:after="120"/>
        <w:ind w:firstLine="720"/>
        <w:jc w:val="both"/>
        <w:rPr>
          <w:color w:val="222222"/>
          <w:shd w:val="clear" w:color="auto" w:fill="FFFFFF"/>
        </w:rPr>
      </w:pPr>
      <w:r>
        <w:rPr>
          <w:color w:val="222222"/>
          <w:shd w:val="clear" w:color="auto" w:fill="FFFFFF"/>
        </w:rPr>
        <w:t xml:space="preserve">from </w:t>
      </w:r>
      <w:hyperlink r:id="rId8" w:history="1">
        <w:r w:rsidRPr="00A0011A">
          <w:rPr>
            <w:rStyle w:val="Hyperlink"/>
            <w:shd w:val="clear" w:color="auto" w:fill="FFFFFF"/>
          </w:rPr>
          <w:t>https://www.ashaweb.org/what-is-school-health/</w:t>
        </w:r>
      </w:hyperlink>
      <w:r>
        <w:rPr>
          <w:color w:val="222222"/>
          <w:shd w:val="clear" w:color="auto" w:fill="FFFFFF"/>
        </w:rPr>
        <w:t xml:space="preserve">  </w:t>
      </w:r>
    </w:p>
    <w:p w14:paraId="5A565E64" w14:textId="77777777" w:rsidR="0079398A" w:rsidRDefault="0079398A" w:rsidP="009D4093">
      <w:pPr>
        <w:snapToGrid w:val="0"/>
        <w:spacing w:after="120" w:line="240" w:lineRule="auto"/>
        <w:jc w:val="both"/>
        <w:rPr>
          <w:rFonts w:ascii="Times New Roman" w:hAnsi="Times New Roman" w:cs="Times New Roman"/>
          <w:color w:val="222222"/>
          <w:sz w:val="24"/>
          <w:szCs w:val="24"/>
          <w:shd w:val="clear" w:color="auto" w:fill="FFFFFF"/>
        </w:rPr>
      </w:pPr>
      <w:r w:rsidRPr="0001103E">
        <w:rPr>
          <w:rFonts w:ascii="Times New Roman" w:hAnsi="Times New Roman" w:cs="Times New Roman"/>
          <w:color w:val="222222"/>
          <w:sz w:val="24"/>
          <w:szCs w:val="24"/>
          <w:shd w:val="clear" w:color="auto" w:fill="FFFFFF"/>
        </w:rPr>
        <w:t xml:space="preserve">Asada, Y., Hughes, A., &amp; </w:t>
      </w:r>
      <w:proofErr w:type="spellStart"/>
      <w:r w:rsidRPr="0001103E">
        <w:rPr>
          <w:rFonts w:ascii="Times New Roman" w:hAnsi="Times New Roman" w:cs="Times New Roman"/>
          <w:color w:val="222222"/>
          <w:sz w:val="24"/>
          <w:szCs w:val="24"/>
          <w:shd w:val="clear" w:color="auto" w:fill="FFFFFF"/>
        </w:rPr>
        <w:t>Chriqui</w:t>
      </w:r>
      <w:proofErr w:type="spellEnd"/>
      <w:r w:rsidRPr="0001103E">
        <w:rPr>
          <w:rFonts w:ascii="Times New Roman" w:hAnsi="Times New Roman" w:cs="Times New Roman"/>
          <w:color w:val="222222"/>
          <w:sz w:val="24"/>
          <w:szCs w:val="24"/>
          <w:shd w:val="clear" w:color="auto" w:fill="FFFFFF"/>
        </w:rPr>
        <w:t xml:space="preserve">, J. (2017). Insights on the intersection of health equity and </w:t>
      </w:r>
    </w:p>
    <w:p w14:paraId="61154582" w14:textId="1D72DB5E" w:rsidR="0079398A" w:rsidRPr="0079398A" w:rsidRDefault="0079398A" w:rsidP="009D4093">
      <w:pPr>
        <w:snapToGrid w:val="0"/>
        <w:spacing w:after="120" w:line="240" w:lineRule="auto"/>
        <w:ind w:left="720"/>
        <w:jc w:val="both"/>
        <w:rPr>
          <w:rFonts w:ascii="Times New Roman" w:hAnsi="Times New Roman" w:cs="Times New Roman"/>
          <w:sz w:val="36"/>
          <w:szCs w:val="36"/>
        </w:rPr>
      </w:pPr>
      <w:r w:rsidRPr="0001103E">
        <w:rPr>
          <w:rFonts w:ascii="Times New Roman" w:hAnsi="Times New Roman" w:cs="Times New Roman"/>
          <w:color w:val="222222"/>
          <w:sz w:val="24"/>
          <w:szCs w:val="24"/>
          <w:shd w:val="clear" w:color="auto" w:fill="FFFFFF"/>
        </w:rPr>
        <w:t>school nutrition policy implementation: an exploratory qualitative secondary analysis. </w:t>
      </w:r>
      <w:r w:rsidRPr="0001103E">
        <w:rPr>
          <w:rFonts w:ascii="Times New Roman" w:hAnsi="Times New Roman" w:cs="Times New Roman"/>
          <w:i/>
          <w:iCs/>
          <w:color w:val="222222"/>
          <w:sz w:val="24"/>
          <w:szCs w:val="24"/>
          <w:shd w:val="clear" w:color="auto" w:fill="FFFFFF"/>
        </w:rPr>
        <w:t>Health Education &amp; Behavior</w:t>
      </w:r>
      <w:r w:rsidRPr="0001103E">
        <w:rPr>
          <w:rFonts w:ascii="Times New Roman" w:hAnsi="Times New Roman" w:cs="Times New Roman"/>
          <w:color w:val="222222"/>
          <w:sz w:val="24"/>
          <w:szCs w:val="24"/>
          <w:shd w:val="clear" w:color="auto" w:fill="FFFFFF"/>
        </w:rPr>
        <w:t>, </w:t>
      </w:r>
      <w:r w:rsidRPr="0001103E">
        <w:rPr>
          <w:rFonts w:ascii="Times New Roman" w:hAnsi="Times New Roman" w:cs="Times New Roman"/>
          <w:i/>
          <w:iCs/>
          <w:color w:val="222222"/>
          <w:sz w:val="24"/>
          <w:szCs w:val="24"/>
          <w:shd w:val="clear" w:color="auto" w:fill="FFFFFF"/>
        </w:rPr>
        <w:t>44</w:t>
      </w:r>
      <w:r w:rsidRPr="0001103E">
        <w:rPr>
          <w:rFonts w:ascii="Times New Roman" w:hAnsi="Times New Roman" w:cs="Times New Roman"/>
          <w:color w:val="222222"/>
          <w:sz w:val="24"/>
          <w:szCs w:val="24"/>
          <w:shd w:val="clear" w:color="auto" w:fill="FFFFFF"/>
        </w:rPr>
        <w:t xml:space="preserve">(5), 685-695. </w:t>
      </w:r>
    </w:p>
    <w:p w14:paraId="39C859CD" w14:textId="3904C0E6" w:rsidR="00412F87" w:rsidRDefault="00412F87" w:rsidP="009D4093">
      <w:pPr>
        <w:pStyle w:val="Default"/>
        <w:snapToGrid w:val="0"/>
        <w:spacing w:before="120" w:after="120"/>
        <w:jc w:val="both"/>
        <w:rPr>
          <w:color w:val="222222"/>
          <w:shd w:val="clear" w:color="auto" w:fill="FFFFFF"/>
        </w:rPr>
      </w:pPr>
      <w:r>
        <w:rPr>
          <w:color w:val="222222"/>
          <w:shd w:val="clear" w:color="auto" w:fill="FFFFFF"/>
        </w:rPr>
        <w:t xml:space="preserve">Asia-Pacific Center of Education for International Understanding (APCEIU). (2022). </w:t>
      </w:r>
    </w:p>
    <w:p w14:paraId="3BF6F995" w14:textId="659A12D0" w:rsidR="00412F87" w:rsidRDefault="00412F87" w:rsidP="009D4093">
      <w:pPr>
        <w:pStyle w:val="Default"/>
        <w:snapToGrid w:val="0"/>
        <w:spacing w:before="120" w:after="120"/>
        <w:ind w:left="720"/>
        <w:jc w:val="both"/>
        <w:rPr>
          <w:color w:val="222222"/>
          <w:shd w:val="clear" w:color="auto" w:fill="FFFFFF"/>
        </w:rPr>
      </w:pPr>
      <w:r w:rsidRPr="00412F87">
        <w:rPr>
          <w:i/>
          <w:iCs/>
          <w:color w:val="222222"/>
          <w:shd w:val="clear" w:color="auto" w:fill="FFFFFF"/>
        </w:rPr>
        <w:t>Sustainable lifestyle challenge: A case from Norway</w:t>
      </w:r>
      <w:r>
        <w:rPr>
          <w:color w:val="222222"/>
          <w:shd w:val="clear" w:color="auto" w:fill="FFFFFF"/>
        </w:rPr>
        <w:t xml:space="preserve"> (EIU Best Practices Series No.62). Seoul, South Korea: Design Prism  </w:t>
      </w:r>
    </w:p>
    <w:p w14:paraId="6D250A73" w14:textId="77777777" w:rsidR="00E13BFE" w:rsidRDefault="00E13BFE"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625B6B">
        <w:rPr>
          <w:rFonts w:ascii="Times New Roman" w:hAnsi="Times New Roman" w:cs="Times New Roman"/>
          <w:color w:val="222222"/>
          <w:sz w:val="24"/>
          <w:szCs w:val="24"/>
          <w:shd w:val="clear" w:color="auto" w:fill="FFFFFF"/>
        </w:rPr>
        <w:t xml:space="preserve">Asim, H. M., Vaz, A., Ahmed, A., &amp; Sadiq, S. (2021). A </w:t>
      </w:r>
      <w:r>
        <w:rPr>
          <w:rFonts w:ascii="Times New Roman" w:hAnsi="Times New Roman" w:cs="Times New Roman"/>
          <w:color w:val="222222"/>
          <w:sz w:val="24"/>
          <w:szCs w:val="24"/>
          <w:shd w:val="clear" w:color="auto" w:fill="FFFFFF"/>
        </w:rPr>
        <w:t>r</w:t>
      </w:r>
      <w:r w:rsidRPr="00625B6B">
        <w:rPr>
          <w:rFonts w:ascii="Times New Roman" w:hAnsi="Times New Roman" w:cs="Times New Roman"/>
          <w:color w:val="222222"/>
          <w:sz w:val="24"/>
          <w:szCs w:val="24"/>
          <w:shd w:val="clear" w:color="auto" w:fill="FFFFFF"/>
        </w:rPr>
        <w:t xml:space="preserve">eview on </w:t>
      </w:r>
      <w:r>
        <w:rPr>
          <w:rFonts w:ascii="Times New Roman" w:hAnsi="Times New Roman" w:cs="Times New Roman"/>
          <w:color w:val="222222"/>
          <w:sz w:val="24"/>
          <w:szCs w:val="24"/>
          <w:shd w:val="clear" w:color="auto" w:fill="FFFFFF"/>
        </w:rPr>
        <w:t>o</w:t>
      </w:r>
      <w:r w:rsidRPr="00625B6B">
        <w:rPr>
          <w:rFonts w:ascii="Times New Roman" w:hAnsi="Times New Roman" w:cs="Times New Roman"/>
          <w:color w:val="222222"/>
          <w:sz w:val="24"/>
          <w:szCs w:val="24"/>
          <w:shd w:val="clear" w:color="auto" w:fill="FFFFFF"/>
        </w:rPr>
        <w:t>utcome</w:t>
      </w:r>
      <w:r>
        <w:rPr>
          <w:rFonts w:ascii="Times New Roman" w:hAnsi="Times New Roman" w:cs="Times New Roman"/>
          <w:color w:val="222222"/>
          <w:sz w:val="24"/>
          <w:szCs w:val="24"/>
          <w:shd w:val="clear" w:color="auto" w:fill="FFFFFF"/>
        </w:rPr>
        <w:t>-b</w:t>
      </w:r>
      <w:r w:rsidRPr="00625B6B">
        <w:rPr>
          <w:rFonts w:ascii="Times New Roman" w:hAnsi="Times New Roman" w:cs="Times New Roman"/>
          <w:color w:val="222222"/>
          <w:sz w:val="24"/>
          <w:szCs w:val="24"/>
          <w:shd w:val="clear" w:color="auto" w:fill="FFFFFF"/>
        </w:rPr>
        <w:t xml:space="preserve">ased </w:t>
      </w:r>
      <w:r>
        <w:rPr>
          <w:rFonts w:ascii="Times New Roman" w:hAnsi="Times New Roman" w:cs="Times New Roman"/>
          <w:color w:val="222222"/>
          <w:sz w:val="24"/>
          <w:szCs w:val="24"/>
          <w:shd w:val="clear" w:color="auto" w:fill="FFFFFF"/>
        </w:rPr>
        <w:t>e</w:t>
      </w:r>
      <w:r w:rsidRPr="00625B6B">
        <w:rPr>
          <w:rFonts w:ascii="Times New Roman" w:hAnsi="Times New Roman" w:cs="Times New Roman"/>
          <w:color w:val="222222"/>
          <w:sz w:val="24"/>
          <w:szCs w:val="24"/>
          <w:shd w:val="clear" w:color="auto" w:fill="FFFFFF"/>
        </w:rPr>
        <w:t xml:space="preserve">ducation </w:t>
      </w:r>
    </w:p>
    <w:p w14:paraId="2445B521" w14:textId="0D0E000F" w:rsidR="00E13BFE" w:rsidRPr="00E13BFE" w:rsidRDefault="00E13BFE" w:rsidP="009D4093">
      <w:pPr>
        <w:snapToGrid w:val="0"/>
        <w:spacing w:before="120" w:after="120" w:line="240" w:lineRule="auto"/>
        <w:ind w:left="720"/>
        <w:jc w:val="both"/>
        <w:rPr>
          <w:rFonts w:ascii="Times New Roman" w:hAnsi="Times New Roman" w:cs="Times New Roman"/>
          <w:sz w:val="36"/>
          <w:szCs w:val="36"/>
        </w:rPr>
      </w:pPr>
      <w:r w:rsidRPr="00625B6B">
        <w:rPr>
          <w:rFonts w:ascii="Times New Roman" w:hAnsi="Times New Roman" w:cs="Times New Roman"/>
          <w:color w:val="222222"/>
          <w:sz w:val="24"/>
          <w:szCs w:val="24"/>
          <w:shd w:val="clear" w:color="auto" w:fill="FFFFFF"/>
        </w:rPr>
        <w:t xml:space="preserve">and </w:t>
      </w:r>
      <w:r>
        <w:rPr>
          <w:rFonts w:ascii="Times New Roman" w:hAnsi="Times New Roman" w:cs="Times New Roman"/>
          <w:color w:val="222222"/>
          <w:sz w:val="24"/>
          <w:szCs w:val="24"/>
          <w:shd w:val="clear" w:color="auto" w:fill="FFFFFF"/>
        </w:rPr>
        <w:t>f</w:t>
      </w:r>
      <w:r w:rsidRPr="00625B6B">
        <w:rPr>
          <w:rFonts w:ascii="Times New Roman" w:hAnsi="Times New Roman" w:cs="Times New Roman"/>
          <w:color w:val="222222"/>
          <w:sz w:val="24"/>
          <w:szCs w:val="24"/>
          <w:shd w:val="clear" w:color="auto" w:fill="FFFFFF"/>
        </w:rPr>
        <w:t xml:space="preserve">actors </w:t>
      </w:r>
      <w:r>
        <w:rPr>
          <w:rFonts w:ascii="Times New Roman" w:hAnsi="Times New Roman" w:cs="Times New Roman"/>
          <w:color w:val="222222"/>
          <w:sz w:val="24"/>
          <w:szCs w:val="24"/>
          <w:shd w:val="clear" w:color="auto" w:fill="FFFFFF"/>
        </w:rPr>
        <w:t>t</w:t>
      </w:r>
      <w:r w:rsidRPr="00625B6B">
        <w:rPr>
          <w:rFonts w:ascii="Times New Roman" w:hAnsi="Times New Roman" w:cs="Times New Roman"/>
          <w:color w:val="222222"/>
          <w:sz w:val="24"/>
          <w:szCs w:val="24"/>
          <w:shd w:val="clear" w:color="auto" w:fill="FFFFFF"/>
        </w:rPr>
        <w:t xml:space="preserve">hat </w:t>
      </w:r>
      <w:r>
        <w:rPr>
          <w:rFonts w:ascii="Times New Roman" w:hAnsi="Times New Roman" w:cs="Times New Roman"/>
          <w:color w:val="222222"/>
          <w:sz w:val="24"/>
          <w:szCs w:val="24"/>
          <w:shd w:val="clear" w:color="auto" w:fill="FFFFFF"/>
        </w:rPr>
        <w:t>i</w:t>
      </w:r>
      <w:r w:rsidRPr="00625B6B">
        <w:rPr>
          <w:rFonts w:ascii="Times New Roman" w:hAnsi="Times New Roman" w:cs="Times New Roman"/>
          <w:color w:val="222222"/>
          <w:sz w:val="24"/>
          <w:szCs w:val="24"/>
          <w:shd w:val="clear" w:color="auto" w:fill="FFFFFF"/>
        </w:rPr>
        <w:t xml:space="preserve">mpact </w:t>
      </w:r>
      <w:r>
        <w:rPr>
          <w:rFonts w:ascii="Times New Roman" w:hAnsi="Times New Roman" w:cs="Times New Roman"/>
          <w:color w:val="222222"/>
          <w:sz w:val="24"/>
          <w:szCs w:val="24"/>
          <w:shd w:val="clear" w:color="auto" w:fill="FFFFFF"/>
        </w:rPr>
        <w:t>s</w:t>
      </w:r>
      <w:r w:rsidRPr="00625B6B">
        <w:rPr>
          <w:rFonts w:ascii="Times New Roman" w:hAnsi="Times New Roman" w:cs="Times New Roman"/>
          <w:color w:val="222222"/>
          <w:sz w:val="24"/>
          <w:szCs w:val="24"/>
          <w:shd w:val="clear" w:color="auto" w:fill="FFFFFF"/>
        </w:rPr>
        <w:t xml:space="preserve">tudent </w:t>
      </w:r>
      <w:r>
        <w:rPr>
          <w:rFonts w:ascii="Times New Roman" w:hAnsi="Times New Roman" w:cs="Times New Roman"/>
          <w:color w:val="222222"/>
          <w:sz w:val="24"/>
          <w:szCs w:val="24"/>
          <w:shd w:val="clear" w:color="auto" w:fill="FFFFFF"/>
        </w:rPr>
        <w:t>l</w:t>
      </w:r>
      <w:r w:rsidRPr="00625B6B">
        <w:rPr>
          <w:rFonts w:ascii="Times New Roman" w:hAnsi="Times New Roman" w:cs="Times New Roman"/>
          <w:color w:val="222222"/>
          <w:sz w:val="24"/>
          <w:szCs w:val="24"/>
          <w:shd w:val="clear" w:color="auto" w:fill="FFFFFF"/>
        </w:rPr>
        <w:t xml:space="preserve">earning </w:t>
      </w:r>
      <w:r>
        <w:rPr>
          <w:rFonts w:ascii="Times New Roman" w:hAnsi="Times New Roman" w:cs="Times New Roman"/>
          <w:color w:val="222222"/>
          <w:sz w:val="24"/>
          <w:szCs w:val="24"/>
          <w:shd w:val="clear" w:color="auto" w:fill="FFFFFF"/>
        </w:rPr>
        <w:t>o</w:t>
      </w:r>
      <w:r w:rsidRPr="00625B6B">
        <w:rPr>
          <w:rFonts w:ascii="Times New Roman" w:hAnsi="Times New Roman" w:cs="Times New Roman"/>
          <w:color w:val="222222"/>
          <w:sz w:val="24"/>
          <w:szCs w:val="24"/>
          <w:shd w:val="clear" w:color="auto" w:fill="FFFFFF"/>
        </w:rPr>
        <w:t xml:space="preserve">utcomes in </w:t>
      </w:r>
      <w:r>
        <w:rPr>
          <w:rFonts w:ascii="Times New Roman" w:hAnsi="Times New Roman" w:cs="Times New Roman"/>
          <w:color w:val="222222"/>
          <w:sz w:val="24"/>
          <w:szCs w:val="24"/>
          <w:shd w:val="clear" w:color="auto" w:fill="FFFFFF"/>
        </w:rPr>
        <w:t>t</w:t>
      </w:r>
      <w:r w:rsidRPr="00625B6B">
        <w:rPr>
          <w:rFonts w:ascii="Times New Roman" w:hAnsi="Times New Roman" w:cs="Times New Roman"/>
          <w:color w:val="222222"/>
          <w:sz w:val="24"/>
          <w:szCs w:val="24"/>
          <w:shd w:val="clear" w:color="auto" w:fill="FFFFFF"/>
        </w:rPr>
        <w:t xml:space="preserve">ertiary </w:t>
      </w:r>
      <w:r>
        <w:rPr>
          <w:rFonts w:ascii="Times New Roman" w:hAnsi="Times New Roman" w:cs="Times New Roman"/>
          <w:color w:val="222222"/>
          <w:sz w:val="24"/>
          <w:szCs w:val="24"/>
          <w:shd w:val="clear" w:color="auto" w:fill="FFFFFF"/>
        </w:rPr>
        <w:t>e</w:t>
      </w:r>
      <w:r w:rsidRPr="00625B6B">
        <w:rPr>
          <w:rFonts w:ascii="Times New Roman" w:hAnsi="Times New Roman" w:cs="Times New Roman"/>
          <w:color w:val="222222"/>
          <w:sz w:val="24"/>
          <w:szCs w:val="24"/>
          <w:shd w:val="clear" w:color="auto" w:fill="FFFFFF"/>
        </w:rPr>
        <w:t xml:space="preserve">ducation </w:t>
      </w:r>
      <w:r>
        <w:rPr>
          <w:rFonts w:ascii="Times New Roman" w:hAnsi="Times New Roman" w:cs="Times New Roman"/>
          <w:color w:val="222222"/>
          <w:sz w:val="24"/>
          <w:szCs w:val="24"/>
          <w:shd w:val="clear" w:color="auto" w:fill="FFFFFF"/>
        </w:rPr>
        <w:t>s</w:t>
      </w:r>
      <w:r w:rsidRPr="00625B6B">
        <w:rPr>
          <w:rFonts w:ascii="Times New Roman" w:hAnsi="Times New Roman" w:cs="Times New Roman"/>
          <w:color w:val="222222"/>
          <w:sz w:val="24"/>
          <w:szCs w:val="24"/>
          <w:shd w:val="clear" w:color="auto" w:fill="FFFFFF"/>
        </w:rPr>
        <w:t>ystem. </w:t>
      </w:r>
      <w:r w:rsidRPr="00625B6B">
        <w:rPr>
          <w:rFonts w:ascii="Times New Roman" w:hAnsi="Times New Roman" w:cs="Times New Roman"/>
          <w:i/>
          <w:iCs/>
          <w:color w:val="222222"/>
          <w:sz w:val="24"/>
          <w:szCs w:val="24"/>
          <w:shd w:val="clear" w:color="auto" w:fill="FFFFFF"/>
        </w:rPr>
        <w:t>International Education Studies</w:t>
      </w:r>
      <w:r w:rsidRPr="00625B6B">
        <w:rPr>
          <w:rFonts w:ascii="Times New Roman" w:hAnsi="Times New Roman" w:cs="Times New Roman"/>
          <w:color w:val="222222"/>
          <w:sz w:val="24"/>
          <w:szCs w:val="24"/>
          <w:shd w:val="clear" w:color="auto" w:fill="FFFFFF"/>
        </w:rPr>
        <w:t>, </w:t>
      </w:r>
      <w:r w:rsidRPr="00625B6B">
        <w:rPr>
          <w:rFonts w:ascii="Times New Roman" w:hAnsi="Times New Roman" w:cs="Times New Roman"/>
          <w:i/>
          <w:iCs/>
          <w:color w:val="222222"/>
          <w:sz w:val="24"/>
          <w:szCs w:val="24"/>
          <w:shd w:val="clear" w:color="auto" w:fill="FFFFFF"/>
        </w:rPr>
        <w:t>14</w:t>
      </w:r>
      <w:r w:rsidRPr="00625B6B">
        <w:rPr>
          <w:rFonts w:ascii="Times New Roman" w:hAnsi="Times New Roman" w:cs="Times New Roman"/>
          <w:color w:val="222222"/>
          <w:sz w:val="24"/>
          <w:szCs w:val="24"/>
          <w:shd w:val="clear" w:color="auto" w:fill="FFFFFF"/>
        </w:rPr>
        <w:t>(2), 1-11.</w:t>
      </w:r>
    </w:p>
    <w:p w14:paraId="4B0E123B" w14:textId="0D3DBD0C" w:rsidR="007B74E2" w:rsidRDefault="007B74E2"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623094">
        <w:rPr>
          <w:rFonts w:ascii="Times New Roman" w:hAnsi="Times New Roman" w:cs="Times New Roman"/>
          <w:color w:val="222222"/>
          <w:sz w:val="24"/>
          <w:szCs w:val="24"/>
          <w:shd w:val="clear" w:color="auto" w:fill="FFFFFF"/>
        </w:rPr>
        <w:t xml:space="preserve">Ayodele, A. A., &amp; Nasiru, O. I. (2021). Effect of guided-discovery technique on </w:t>
      </w:r>
      <w:r w:rsidR="00F7600E" w:rsidRPr="00623094">
        <w:rPr>
          <w:rFonts w:ascii="Times New Roman" w:hAnsi="Times New Roman" w:cs="Times New Roman"/>
          <w:color w:val="222222"/>
          <w:sz w:val="24"/>
          <w:szCs w:val="24"/>
          <w:shd w:val="clear" w:color="auto" w:fill="FFFFFF"/>
        </w:rPr>
        <w:t>colleges</w:t>
      </w:r>
      <w:r w:rsidRPr="00623094">
        <w:rPr>
          <w:rFonts w:ascii="Times New Roman" w:hAnsi="Times New Roman" w:cs="Times New Roman"/>
          <w:color w:val="222222"/>
          <w:sz w:val="24"/>
          <w:szCs w:val="24"/>
          <w:shd w:val="clear" w:color="auto" w:fill="FFFFFF"/>
        </w:rPr>
        <w:t xml:space="preserve"> of </w:t>
      </w:r>
    </w:p>
    <w:p w14:paraId="17FB9701" w14:textId="1B1511AB" w:rsidR="007C1125" w:rsidRDefault="003B7CBC" w:rsidP="007C1125">
      <w:pPr>
        <w:snapToGrid w:val="0"/>
        <w:spacing w:before="120" w:after="120" w:line="240" w:lineRule="auto"/>
        <w:ind w:left="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w:t>
      </w:r>
      <w:r w:rsidR="007B74E2" w:rsidRPr="00623094">
        <w:rPr>
          <w:rFonts w:ascii="Times New Roman" w:hAnsi="Times New Roman" w:cs="Times New Roman"/>
          <w:color w:val="222222"/>
          <w:sz w:val="24"/>
          <w:szCs w:val="24"/>
          <w:shd w:val="clear" w:color="auto" w:fill="FFFFFF"/>
        </w:rPr>
        <w:t xml:space="preserve">ducation </w:t>
      </w:r>
      <w:r>
        <w:rPr>
          <w:rFonts w:ascii="Times New Roman" w:hAnsi="Times New Roman" w:cs="Times New Roman"/>
          <w:color w:val="222222"/>
          <w:sz w:val="24"/>
          <w:szCs w:val="24"/>
          <w:shd w:val="clear" w:color="auto" w:fill="FFFFFF"/>
        </w:rPr>
        <w:t>s</w:t>
      </w:r>
      <w:r w:rsidR="007B74E2" w:rsidRPr="00623094">
        <w:rPr>
          <w:rFonts w:ascii="Times New Roman" w:hAnsi="Times New Roman" w:cs="Times New Roman"/>
          <w:color w:val="222222"/>
          <w:sz w:val="24"/>
          <w:szCs w:val="24"/>
          <w:shd w:val="clear" w:color="auto" w:fill="FFFFFF"/>
        </w:rPr>
        <w:t xml:space="preserve">ocial </w:t>
      </w:r>
      <w:r>
        <w:rPr>
          <w:rFonts w:ascii="Times New Roman" w:hAnsi="Times New Roman" w:cs="Times New Roman"/>
          <w:color w:val="222222"/>
          <w:sz w:val="24"/>
          <w:szCs w:val="24"/>
          <w:shd w:val="clear" w:color="auto" w:fill="FFFFFF"/>
        </w:rPr>
        <w:t>s</w:t>
      </w:r>
      <w:r w:rsidR="007B74E2" w:rsidRPr="00623094">
        <w:rPr>
          <w:rFonts w:ascii="Times New Roman" w:hAnsi="Times New Roman" w:cs="Times New Roman"/>
          <w:color w:val="222222"/>
          <w:sz w:val="24"/>
          <w:szCs w:val="24"/>
          <w:shd w:val="clear" w:color="auto" w:fill="FFFFFF"/>
        </w:rPr>
        <w:t>tudies students’ learning outcome. </w:t>
      </w:r>
      <w:r w:rsidR="007B74E2" w:rsidRPr="00623094">
        <w:rPr>
          <w:rFonts w:ascii="Times New Roman" w:hAnsi="Times New Roman" w:cs="Times New Roman"/>
          <w:i/>
          <w:iCs/>
          <w:color w:val="222222"/>
          <w:sz w:val="24"/>
          <w:szCs w:val="24"/>
          <w:shd w:val="clear" w:color="auto" w:fill="FFFFFF"/>
        </w:rPr>
        <w:t>Journal of Education and Learning (</w:t>
      </w:r>
      <w:proofErr w:type="spellStart"/>
      <w:r w:rsidR="007B74E2" w:rsidRPr="00623094">
        <w:rPr>
          <w:rFonts w:ascii="Times New Roman" w:hAnsi="Times New Roman" w:cs="Times New Roman"/>
          <w:i/>
          <w:iCs/>
          <w:color w:val="222222"/>
          <w:sz w:val="24"/>
          <w:szCs w:val="24"/>
          <w:shd w:val="clear" w:color="auto" w:fill="FFFFFF"/>
        </w:rPr>
        <w:t>EduLearn</w:t>
      </w:r>
      <w:proofErr w:type="spellEnd"/>
      <w:r w:rsidR="007B74E2" w:rsidRPr="00623094">
        <w:rPr>
          <w:rFonts w:ascii="Times New Roman" w:hAnsi="Times New Roman" w:cs="Times New Roman"/>
          <w:i/>
          <w:iCs/>
          <w:color w:val="222222"/>
          <w:sz w:val="24"/>
          <w:szCs w:val="24"/>
          <w:shd w:val="clear" w:color="auto" w:fill="FFFFFF"/>
        </w:rPr>
        <w:t>)</w:t>
      </w:r>
      <w:r w:rsidR="007B74E2" w:rsidRPr="00623094">
        <w:rPr>
          <w:rFonts w:ascii="Times New Roman" w:hAnsi="Times New Roman" w:cs="Times New Roman"/>
          <w:color w:val="222222"/>
          <w:sz w:val="24"/>
          <w:szCs w:val="24"/>
          <w:shd w:val="clear" w:color="auto" w:fill="FFFFFF"/>
        </w:rPr>
        <w:t>, </w:t>
      </w:r>
      <w:r w:rsidR="007B74E2" w:rsidRPr="00623094">
        <w:rPr>
          <w:rFonts w:ascii="Times New Roman" w:hAnsi="Times New Roman" w:cs="Times New Roman"/>
          <w:i/>
          <w:iCs/>
          <w:color w:val="222222"/>
          <w:sz w:val="24"/>
          <w:szCs w:val="24"/>
          <w:shd w:val="clear" w:color="auto" w:fill="FFFFFF"/>
        </w:rPr>
        <w:t>15</w:t>
      </w:r>
      <w:r w:rsidR="007B74E2" w:rsidRPr="00623094">
        <w:rPr>
          <w:rFonts w:ascii="Times New Roman" w:hAnsi="Times New Roman" w:cs="Times New Roman"/>
          <w:color w:val="222222"/>
          <w:sz w:val="24"/>
          <w:szCs w:val="24"/>
          <w:shd w:val="clear" w:color="auto" w:fill="FFFFFF"/>
        </w:rPr>
        <w:t xml:space="preserve">(3), 390-396. </w:t>
      </w:r>
    </w:p>
    <w:p w14:paraId="215FC813" w14:textId="12BF2E31" w:rsidR="007C1125" w:rsidRPr="007C1125" w:rsidRDefault="007C1125" w:rsidP="007C11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Babbie, E. (2007). </w:t>
      </w:r>
      <w:r w:rsidRPr="0026244B">
        <w:rPr>
          <w:rFonts w:ascii="Times New Roman" w:hAnsi="Times New Roman" w:cs="Times New Roman"/>
          <w:i/>
          <w:iCs/>
          <w:sz w:val="24"/>
          <w:szCs w:val="24"/>
        </w:rPr>
        <w:t>The practice of social research</w:t>
      </w:r>
      <w:r>
        <w:rPr>
          <w:rFonts w:ascii="Times New Roman" w:hAnsi="Times New Roman" w:cs="Times New Roman"/>
          <w:sz w:val="24"/>
          <w:szCs w:val="24"/>
        </w:rPr>
        <w:t xml:space="preserve"> (7</w:t>
      </w:r>
      <w:r w:rsidRPr="0026244B">
        <w:rPr>
          <w:rFonts w:ascii="Times New Roman" w:hAnsi="Times New Roman" w:cs="Times New Roman"/>
          <w:sz w:val="24"/>
          <w:szCs w:val="24"/>
          <w:vertAlign w:val="superscript"/>
        </w:rPr>
        <w:t>th</w:t>
      </w:r>
      <w:r>
        <w:rPr>
          <w:rFonts w:ascii="Times New Roman" w:hAnsi="Times New Roman" w:cs="Times New Roman"/>
          <w:sz w:val="24"/>
          <w:szCs w:val="24"/>
        </w:rPr>
        <w:t xml:space="preserve"> ed.). Cengage Learning </w:t>
      </w:r>
    </w:p>
    <w:p w14:paraId="2383EF7A" w14:textId="1DEA654C" w:rsidR="00C0618B" w:rsidRDefault="001D2D15" w:rsidP="009D4093">
      <w:pPr>
        <w:pStyle w:val="Default"/>
        <w:snapToGrid w:val="0"/>
        <w:spacing w:before="120" w:after="120"/>
        <w:jc w:val="both"/>
        <w:rPr>
          <w:i/>
          <w:iCs/>
          <w:color w:val="222222"/>
          <w:shd w:val="clear" w:color="auto" w:fill="FFFFFF"/>
        </w:rPr>
      </w:pPr>
      <w:proofErr w:type="spellStart"/>
      <w:r>
        <w:rPr>
          <w:color w:val="222222"/>
          <w:shd w:val="clear" w:color="auto" w:fill="FFFFFF"/>
        </w:rPr>
        <w:t>Brener</w:t>
      </w:r>
      <w:proofErr w:type="spellEnd"/>
      <w:r>
        <w:rPr>
          <w:color w:val="222222"/>
          <w:shd w:val="clear" w:color="auto" w:fill="FFFFFF"/>
        </w:rPr>
        <w:t>, N.</w:t>
      </w:r>
      <w:r w:rsidR="003B7CBC">
        <w:rPr>
          <w:color w:val="222222"/>
          <w:shd w:val="clear" w:color="auto" w:fill="FFFFFF"/>
        </w:rPr>
        <w:t xml:space="preserve"> </w:t>
      </w:r>
      <w:r>
        <w:rPr>
          <w:color w:val="222222"/>
          <w:shd w:val="clear" w:color="auto" w:fill="FFFFFF"/>
        </w:rPr>
        <w:t xml:space="preserve">D., </w:t>
      </w:r>
      <w:proofErr w:type="spellStart"/>
      <w:r>
        <w:rPr>
          <w:color w:val="222222"/>
          <w:shd w:val="clear" w:color="auto" w:fill="FFFFFF"/>
        </w:rPr>
        <w:t>Demissie</w:t>
      </w:r>
      <w:proofErr w:type="spellEnd"/>
      <w:r>
        <w:rPr>
          <w:color w:val="222222"/>
          <w:shd w:val="clear" w:color="auto" w:fill="FFFFFF"/>
        </w:rPr>
        <w:t xml:space="preserve">, Z., McManus, T., Shanklin, S., Queen, B., &amp; </w:t>
      </w:r>
      <w:proofErr w:type="spellStart"/>
      <w:r>
        <w:rPr>
          <w:color w:val="222222"/>
          <w:shd w:val="clear" w:color="auto" w:fill="FFFFFF"/>
        </w:rPr>
        <w:t>Kann</w:t>
      </w:r>
      <w:proofErr w:type="spellEnd"/>
      <w:r>
        <w:rPr>
          <w:color w:val="222222"/>
          <w:shd w:val="clear" w:color="auto" w:fill="FFFFFF"/>
        </w:rPr>
        <w:t xml:space="preserve">, L. (2017). </w:t>
      </w:r>
      <w:r w:rsidRPr="00C0618B">
        <w:rPr>
          <w:i/>
          <w:iCs/>
          <w:color w:val="222222"/>
          <w:shd w:val="clear" w:color="auto" w:fill="FFFFFF"/>
        </w:rPr>
        <w:t xml:space="preserve">School </w:t>
      </w:r>
    </w:p>
    <w:p w14:paraId="628523B5" w14:textId="6F657D47" w:rsidR="001D2D15" w:rsidRDefault="001D2D15" w:rsidP="009D4093">
      <w:pPr>
        <w:pStyle w:val="Default"/>
        <w:snapToGrid w:val="0"/>
        <w:spacing w:before="120" w:after="120"/>
        <w:ind w:left="720"/>
        <w:jc w:val="both"/>
        <w:rPr>
          <w:color w:val="222222"/>
          <w:shd w:val="clear" w:color="auto" w:fill="FFFFFF"/>
        </w:rPr>
      </w:pPr>
      <w:r w:rsidRPr="00C0618B">
        <w:rPr>
          <w:i/>
          <w:iCs/>
          <w:color w:val="222222"/>
          <w:shd w:val="clear" w:color="auto" w:fill="FFFFFF"/>
        </w:rPr>
        <w:t>health profiles 2016: Characteristics of health programs among secondary schools.</w:t>
      </w:r>
      <w:r>
        <w:rPr>
          <w:color w:val="222222"/>
          <w:shd w:val="clear" w:color="auto" w:fill="FFFFFF"/>
        </w:rPr>
        <w:t xml:space="preserve"> Atlanta: Centers for Disease Control and Prevention. </w:t>
      </w:r>
    </w:p>
    <w:p w14:paraId="38E96911" w14:textId="77777777" w:rsidR="00F7600E" w:rsidRDefault="00F7600E" w:rsidP="009D4093">
      <w:pPr>
        <w:pStyle w:val="Default"/>
        <w:snapToGrid w:val="0"/>
        <w:spacing w:before="120" w:after="120"/>
        <w:jc w:val="both"/>
        <w:rPr>
          <w:color w:val="222222"/>
          <w:shd w:val="clear" w:color="auto" w:fill="FFFFFF"/>
        </w:rPr>
      </w:pPr>
      <w:r>
        <w:rPr>
          <w:color w:val="222222"/>
          <w:shd w:val="clear" w:color="auto" w:fill="FFFFFF"/>
        </w:rPr>
        <w:t xml:space="preserve">Burrows, T., Goldman, S., </w:t>
      </w:r>
      <w:proofErr w:type="spellStart"/>
      <w:r>
        <w:rPr>
          <w:color w:val="222222"/>
          <w:shd w:val="clear" w:color="auto" w:fill="FFFFFF"/>
        </w:rPr>
        <w:t>Pursey</w:t>
      </w:r>
      <w:proofErr w:type="spellEnd"/>
      <w:r>
        <w:rPr>
          <w:color w:val="222222"/>
          <w:shd w:val="clear" w:color="auto" w:fill="FFFFFF"/>
        </w:rPr>
        <w:t xml:space="preserve">, K., &amp; Lim, R. (2017). Is there an association between dietary </w:t>
      </w:r>
    </w:p>
    <w:p w14:paraId="4079C7E7" w14:textId="13B5FB49" w:rsidR="00F7600E" w:rsidRDefault="00F7600E" w:rsidP="009D4093">
      <w:pPr>
        <w:pStyle w:val="Default"/>
        <w:snapToGrid w:val="0"/>
        <w:spacing w:before="120" w:after="120"/>
        <w:ind w:left="720"/>
        <w:jc w:val="both"/>
        <w:rPr>
          <w:color w:val="222222"/>
          <w:shd w:val="clear" w:color="auto" w:fill="FFFFFF"/>
        </w:rPr>
      </w:pPr>
      <w:r>
        <w:rPr>
          <w:color w:val="222222"/>
          <w:shd w:val="clear" w:color="auto" w:fill="FFFFFF"/>
        </w:rPr>
        <w:t xml:space="preserve">intake and academic achievement: A systematic review. </w:t>
      </w:r>
      <w:r w:rsidRPr="00F7600E">
        <w:rPr>
          <w:i/>
          <w:iCs/>
          <w:color w:val="222222"/>
          <w:shd w:val="clear" w:color="auto" w:fill="FFFFFF"/>
        </w:rPr>
        <w:t>Journal of Human Nutrition and Dietetics, 30</w:t>
      </w:r>
      <w:r>
        <w:rPr>
          <w:color w:val="222222"/>
          <w:shd w:val="clear" w:color="auto" w:fill="FFFFFF"/>
        </w:rPr>
        <w:t xml:space="preserve">, 117-140.  </w:t>
      </w:r>
    </w:p>
    <w:p w14:paraId="58DDB311" w14:textId="77777777" w:rsidR="00A2750A" w:rsidRDefault="00A2750A" w:rsidP="00A2750A">
      <w:pPr>
        <w:spacing w:after="0" w:line="360" w:lineRule="auto"/>
        <w:jc w:val="both"/>
        <w:rPr>
          <w:rFonts w:ascii="Times New Roman" w:hAnsi="Times New Roman" w:cs="Times New Roman"/>
          <w:color w:val="222222"/>
          <w:sz w:val="24"/>
          <w:szCs w:val="24"/>
          <w:shd w:val="clear" w:color="auto" w:fill="FFFFFF"/>
        </w:rPr>
      </w:pPr>
      <w:proofErr w:type="spellStart"/>
      <w:r w:rsidRPr="002E7DCA">
        <w:rPr>
          <w:rFonts w:ascii="Times New Roman" w:hAnsi="Times New Roman" w:cs="Times New Roman"/>
          <w:color w:val="222222"/>
          <w:sz w:val="24"/>
          <w:szCs w:val="24"/>
          <w:shd w:val="clear" w:color="auto" w:fill="FFFFFF"/>
        </w:rPr>
        <w:t>Caputi</w:t>
      </w:r>
      <w:proofErr w:type="spellEnd"/>
      <w:r w:rsidRPr="002E7DCA">
        <w:rPr>
          <w:rFonts w:ascii="Times New Roman" w:hAnsi="Times New Roman" w:cs="Times New Roman"/>
          <w:color w:val="222222"/>
          <w:sz w:val="24"/>
          <w:szCs w:val="24"/>
          <w:shd w:val="clear" w:color="auto" w:fill="FFFFFF"/>
        </w:rPr>
        <w:t xml:space="preserve">, P., &amp; </w:t>
      </w:r>
      <w:proofErr w:type="spellStart"/>
      <w:r w:rsidRPr="002E7DCA">
        <w:rPr>
          <w:rFonts w:ascii="Times New Roman" w:hAnsi="Times New Roman" w:cs="Times New Roman"/>
          <w:color w:val="222222"/>
          <w:sz w:val="24"/>
          <w:szCs w:val="24"/>
          <w:shd w:val="clear" w:color="auto" w:fill="FFFFFF"/>
        </w:rPr>
        <w:t>Balnaves</w:t>
      </w:r>
      <w:proofErr w:type="spellEnd"/>
      <w:r w:rsidRPr="002E7DCA">
        <w:rPr>
          <w:rFonts w:ascii="Times New Roman" w:hAnsi="Times New Roman" w:cs="Times New Roman"/>
          <w:color w:val="222222"/>
          <w:sz w:val="24"/>
          <w:szCs w:val="24"/>
          <w:shd w:val="clear" w:color="auto" w:fill="FFFFFF"/>
        </w:rPr>
        <w:t xml:space="preserve">, M. (2001). Introduction to quantitative research methods: An </w:t>
      </w:r>
    </w:p>
    <w:p w14:paraId="7B1E871C" w14:textId="3F19B912" w:rsidR="00A2750A" w:rsidRPr="00A2750A" w:rsidRDefault="00A2750A" w:rsidP="00A2750A">
      <w:pPr>
        <w:spacing w:line="360" w:lineRule="auto"/>
        <w:ind w:firstLine="720"/>
        <w:jc w:val="both"/>
        <w:rPr>
          <w:rFonts w:ascii="Times New Roman" w:hAnsi="Times New Roman" w:cs="Times New Roman"/>
          <w:sz w:val="36"/>
          <w:szCs w:val="36"/>
        </w:rPr>
      </w:pPr>
      <w:r w:rsidRPr="002E7DCA">
        <w:rPr>
          <w:rFonts w:ascii="Times New Roman" w:hAnsi="Times New Roman" w:cs="Times New Roman"/>
          <w:color w:val="222222"/>
          <w:sz w:val="24"/>
          <w:szCs w:val="24"/>
          <w:shd w:val="clear" w:color="auto" w:fill="FFFFFF"/>
        </w:rPr>
        <w:t>investigative approach. </w:t>
      </w:r>
      <w:r w:rsidRPr="002E7DCA">
        <w:rPr>
          <w:rFonts w:ascii="Times New Roman" w:hAnsi="Times New Roman" w:cs="Times New Roman"/>
          <w:i/>
          <w:iCs/>
          <w:color w:val="222222"/>
          <w:sz w:val="24"/>
          <w:szCs w:val="24"/>
          <w:shd w:val="clear" w:color="auto" w:fill="FFFFFF"/>
        </w:rPr>
        <w:t>Introduction to Quantitative Research Methods</w:t>
      </w:r>
      <w:r w:rsidRPr="002E7DCA">
        <w:rPr>
          <w:rFonts w:ascii="Times New Roman" w:hAnsi="Times New Roman" w:cs="Times New Roman"/>
          <w:color w:val="222222"/>
          <w:sz w:val="24"/>
          <w:szCs w:val="24"/>
          <w:shd w:val="clear" w:color="auto" w:fill="FFFFFF"/>
        </w:rPr>
        <w:t>, 1-272.</w:t>
      </w:r>
    </w:p>
    <w:p w14:paraId="4A37F368" w14:textId="1639A18A" w:rsidR="00C0168B" w:rsidRDefault="00C0168B" w:rsidP="009D4093">
      <w:pPr>
        <w:pStyle w:val="Default"/>
        <w:snapToGrid w:val="0"/>
        <w:spacing w:before="120" w:after="120"/>
        <w:jc w:val="both"/>
        <w:rPr>
          <w:i/>
          <w:iCs/>
          <w:color w:val="222222"/>
          <w:shd w:val="clear" w:color="auto" w:fill="FFFFFF"/>
        </w:rPr>
      </w:pPr>
      <w:r>
        <w:rPr>
          <w:color w:val="222222"/>
          <w:shd w:val="clear" w:color="auto" w:fill="FFFFFF"/>
        </w:rPr>
        <w:t xml:space="preserve">Creswell, J. W. (2012). </w:t>
      </w:r>
      <w:r w:rsidRPr="00C0168B">
        <w:rPr>
          <w:i/>
          <w:iCs/>
          <w:color w:val="222222"/>
          <w:shd w:val="clear" w:color="auto" w:fill="FFFFFF"/>
        </w:rPr>
        <w:t xml:space="preserve">Educational research: Planning, conducting and evaluating </w:t>
      </w:r>
    </w:p>
    <w:p w14:paraId="1BC4494B" w14:textId="475B4025" w:rsidR="00C0168B" w:rsidRDefault="00C0168B" w:rsidP="009D4093">
      <w:pPr>
        <w:pStyle w:val="Default"/>
        <w:snapToGrid w:val="0"/>
        <w:spacing w:before="120" w:after="120"/>
        <w:ind w:firstLine="720"/>
        <w:jc w:val="both"/>
        <w:rPr>
          <w:color w:val="222222"/>
          <w:shd w:val="clear" w:color="auto" w:fill="FFFFFF"/>
        </w:rPr>
      </w:pPr>
      <w:r w:rsidRPr="00C0168B">
        <w:rPr>
          <w:i/>
          <w:iCs/>
          <w:color w:val="222222"/>
          <w:shd w:val="clear" w:color="auto" w:fill="FFFFFF"/>
        </w:rPr>
        <w:t>quantitative and qualitative research</w:t>
      </w:r>
      <w:r>
        <w:rPr>
          <w:color w:val="222222"/>
          <w:shd w:val="clear" w:color="auto" w:fill="FFFFFF"/>
        </w:rPr>
        <w:t xml:space="preserve"> (4</w:t>
      </w:r>
      <w:r w:rsidRPr="00C0168B">
        <w:rPr>
          <w:color w:val="222222"/>
          <w:shd w:val="clear" w:color="auto" w:fill="FFFFFF"/>
          <w:vertAlign w:val="superscript"/>
        </w:rPr>
        <w:t>th</w:t>
      </w:r>
      <w:r>
        <w:rPr>
          <w:color w:val="222222"/>
          <w:shd w:val="clear" w:color="auto" w:fill="FFFFFF"/>
        </w:rPr>
        <w:t xml:space="preserve"> ed.).</w:t>
      </w:r>
      <w:r w:rsidR="007E1562">
        <w:rPr>
          <w:color w:val="222222"/>
          <w:shd w:val="clear" w:color="auto" w:fill="FFFFFF"/>
        </w:rPr>
        <w:t xml:space="preserve"> </w:t>
      </w:r>
      <w:r>
        <w:rPr>
          <w:color w:val="222222"/>
          <w:shd w:val="clear" w:color="auto" w:fill="FFFFFF"/>
        </w:rPr>
        <w:t xml:space="preserve">Pearson  </w:t>
      </w:r>
    </w:p>
    <w:p w14:paraId="01D8DFB7" w14:textId="77777777" w:rsidR="006244AF" w:rsidRDefault="006244AF" w:rsidP="009D4093">
      <w:pPr>
        <w:snapToGrid w:val="0"/>
        <w:spacing w:after="120" w:line="240" w:lineRule="auto"/>
        <w:jc w:val="both"/>
        <w:rPr>
          <w:rFonts w:ascii="Times New Roman" w:hAnsi="Times New Roman" w:cs="Times New Roman"/>
          <w:color w:val="222222"/>
          <w:sz w:val="24"/>
          <w:szCs w:val="24"/>
          <w:shd w:val="clear" w:color="auto" w:fill="FFFFFF"/>
        </w:rPr>
      </w:pPr>
      <w:proofErr w:type="spellStart"/>
      <w:r w:rsidRPr="006244AF">
        <w:rPr>
          <w:rFonts w:ascii="Times New Roman" w:hAnsi="Times New Roman" w:cs="Times New Roman"/>
          <w:color w:val="222222"/>
          <w:sz w:val="24"/>
          <w:szCs w:val="24"/>
          <w:shd w:val="clear" w:color="auto" w:fill="FFFFFF"/>
        </w:rPr>
        <w:t>Cygan</w:t>
      </w:r>
      <w:proofErr w:type="spellEnd"/>
      <w:r w:rsidRPr="006244AF">
        <w:rPr>
          <w:rFonts w:ascii="Times New Roman" w:hAnsi="Times New Roman" w:cs="Times New Roman"/>
          <w:color w:val="222222"/>
          <w:sz w:val="24"/>
          <w:szCs w:val="24"/>
          <w:shd w:val="clear" w:color="auto" w:fill="FFFFFF"/>
        </w:rPr>
        <w:t xml:space="preserve">, H., </w:t>
      </w:r>
      <w:proofErr w:type="spellStart"/>
      <w:r w:rsidRPr="006244AF">
        <w:rPr>
          <w:rFonts w:ascii="Times New Roman" w:hAnsi="Times New Roman" w:cs="Times New Roman"/>
          <w:color w:val="222222"/>
          <w:sz w:val="24"/>
          <w:szCs w:val="24"/>
          <w:shd w:val="clear" w:color="auto" w:fill="FFFFFF"/>
        </w:rPr>
        <w:t>Tribbia</w:t>
      </w:r>
      <w:proofErr w:type="spellEnd"/>
      <w:r w:rsidRPr="006244AF">
        <w:rPr>
          <w:rFonts w:ascii="Times New Roman" w:hAnsi="Times New Roman" w:cs="Times New Roman"/>
          <w:color w:val="222222"/>
          <w:sz w:val="24"/>
          <w:szCs w:val="24"/>
          <w:shd w:val="clear" w:color="auto" w:fill="FFFFFF"/>
        </w:rPr>
        <w:t xml:space="preserve">, C., &amp; Tully, J. (2020). School health policy implementation: Facilitators </w:t>
      </w:r>
    </w:p>
    <w:p w14:paraId="448D8F81" w14:textId="1C839D4B" w:rsidR="006244AF" w:rsidRDefault="006244AF" w:rsidP="009D4093">
      <w:pPr>
        <w:snapToGrid w:val="0"/>
        <w:spacing w:after="120" w:line="240" w:lineRule="auto"/>
        <w:ind w:firstLine="720"/>
        <w:jc w:val="both"/>
        <w:rPr>
          <w:rFonts w:ascii="Times New Roman" w:hAnsi="Times New Roman" w:cs="Times New Roman"/>
          <w:color w:val="222222"/>
          <w:sz w:val="24"/>
          <w:szCs w:val="24"/>
          <w:shd w:val="clear" w:color="auto" w:fill="FFFFFF"/>
        </w:rPr>
      </w:pPr>
      <w:r w:rsidRPr="006244AF">
        <w:rPr>
          <w:rFonts w:ascii="Times New Roman" w:hAnsi="Times New Roman" w:cs="Times New Roman"/>
          <w:color w:val="222222"/>
          <w:sz w:val="24"/>
          <w:szCs w:val="24"/>
          <w:shd w:val="clear" w:color="auto" w:fill="FFFFFF"/>
        </w:rPr>
        <w:t>and challenges. </w:t>
      </w:r>
      <w:r w:rsidRPr="006244AF">
        <w:rPr>
          <w:rFonts w:ascii="Times New Roman" w:hAnsi="Times New Roman" w:cs="Times New Roman"/>
          <w:i/>
          <w:iCs/>
          <w:color w:val="222222"/>
          <w:sz w:val="24"/>
          <w:szCs w:val="24"/>
          <w:shd w:val="clear" w:color="auto" w:fill="FFFFFF"/>
        </w:rPr>
        <w:t>The Journal of School Nursing</w:t>
      </w:r>
      <w:r w:rsidRPr="006244AF">
        <w:rPr>
          <w:rFonts w:ascii="Times New Roman" w:hAnsi="Times New Roman" w:cs="Times New Roman"/>
          <w:color w:val="222222"/>
          <w:sz w:val="24"/>
          <w:szCs w:val="24"/>
          <w:shd w:val="clear" w:color="auto" w:fill="FFFFFF"/>
        </w:rPr>
        <w:t>, </w:t>
      </w:r>
      <w:r w:rsidRPr="006244AF">
        <w:rPr>
          <w:rFonts w:ascii="Times New Roman" w:hAnsi="Times New Roman" w:cs="Times New Roman"/>
          <w:i/>
          <w:iCs/>
          <w:color w:val="222222"/>
          <w:sz w:val="24"/>
          <w:szCs w:val="24"/>
          <w:shd w:val="clear" w:color="auto" w:fill="FFFFFF"/>
        </w:rPr>
        <w:t>36</w:t>
      </w:r>
      <w:r w:rsidRPr="006244AF">
        <w:rPr>
          <w:rFonts w:ascii="Times New Roman" w:hAnsi="Times New Roman" w:cs="Times New Roman"/>
          <w:color w:val="222222"/>
          <w:sz w:val="24"/>
          <w:szCs w:val="24"/>
          <w:shd w:val="clear" w:color="auto" w:fill="FFFFFF"/>
        </w:rPr>
        <w:t>(5), 330-338.</w:t>
      </w:r>
      <w:r>
        <w:rPr>
          <w:rFonts w:ascii="Times New Roman" w:hAnsi="Times New Roman" w:cs="Times New Roman"/>
          <w:color w:val="222222"/>
          <w:sz w:val="24"/>
          <w:szCs w:val="24"/>
          <w:shd w:val="clear" w:color="auto" w:fill="FFFFFF"/>
        </w:rPr>
        <w:t xml:space="preserve"> </w:t>
      </w:r>
    </w:p>
    <w:p w14:paraId="57BCEE0D" w14:textId="77777777" w:rsidR="00123746" w:rsidRDefault="00123746" w:rsidP="009D4093">
      <w:pPr>
        <w:snapToGrid w:val="0"/>
        <w:spacing w:after="120" w:line="240" w:lineRule="auto"/>
        <w:jc w:val="both"/>
        <w:rPr>
          <w:rFonts w:ascii="Times New Roman" w:hAnsi="Times New Roman" w:cs="Times New Roman"/>
          <w:color w:val="222222"/>
          <w:sz w:val="24"/>
          <w:szCs w:val="24"/>
          <w:shd w:val="clear" w:color="auto" w:fill="FFFFFF"/>
        </w:rPr>
      </w:pPr>
      <w:r w:rsidRPr="00CF4D44">
        <w:rPr>
          <w:rFonts w:ascii="Times New Roman" w:hAnsi="Times New Roman" w:cs="Times New Roman"/>
          <w:color w:val="222222"/>
          <w:sz w:val="24"/>
          <w:szCs w:val="24"/>
          <w:shd w:val="clear" w:color="auto" w:fill="FFFFFF"/>
        </w:rPr>
        <w:t xml:space="preserve">Darlington, E. J., Violon, N., &amp; Jourdan, D. (2018). Implementation of health promotion </w:t>
      </w:r>
    </w:p>
    <w:p w14:paraId="27048432" w14:textId="37892729" w:rsidR="00123746" w:rsidRDefault="00123746" w:rsidP="009D4093">
      <w:pPr>
        <w:snapToGrid w:val="0"/>
        <w:spacing w:after="120" w:line="240" w:lineRule="auto"/>
        <w:ind w:left="720"/>
        <w:jc w:val="both"/>
        <w:rPr>
          <w:rFonts w:ascii="Times New Roman" w:hAnsi="Times New Roman" w:cs="Times New Roman"/>
          <w:color w:val="222222"/>
          <w:sz w:val="24"/>
          <w:szCs w:val="24"/>
          <w:shd w:val="clear" w:color="auto" w:fill="FFFFFF"/>
        </w:rPr>
      </w:pPr>
      <w:proofErr w:type="spellStart"/>
      <w:r w:rsidRPr="00CF4D44">
        <w:rPr>
          <w:rFonts w:ascii="Times New Roman" w:hAnsi="Times New Roman" w:cs="Times New Roman"/>
          <w:color w:val="222222"/>
          <w:sz w:val="24"/>
          <w:szCs w:val="24"/>
          <w:shd w:val="clear" w:color="auto" w:fill="FFFFFF"/>
        </w:rPr>
        <w:lastRenderedPageBreak/>
        <w:t>programmes</w:t>
      </w:r>
      <w:proofErr w:type="spellEnd"/>
      <w:r w:rsidRPr="00CF4D44">
        <w:rPr>
          <w:rFonts w:ascii="Times New Roman" w:hAnsi="Times New Roman" w:cs="Times New Roman"/>
          <w:color w:val="222222"/>
          <w:sz w:val="24"/>
          <w:szCs w:val="24"/>
          <w:shd w:val="clear" w:color="auto" w:fill="FFFFFF"/>
        </w:rPr>
        <w:t xml:space="preserve"> in schools: </w:t>
      </w:r>
      <w:r w:rsidR="00816D49">
        <w:rPr>
          <w:rFonts w:ascii="Times New Roman" w:hAnsi="Times New Roman" w:cs="Times New Roman"/>
          <w:color w:val="222222"/>
          <w:sz w:val="24"/>
          <w:szCs w:val="24"/>
          <w:shd w:val="clear" w:color="auto" w:fill="FFFFFF"/>
        </w:rPr>
        <w:t>A</w:t>
      </w:r>
      <w:r w:rsidRPr="00CF4D44">
        <w:rPr>
          <w:rFonts w:ascii="Times New Roman" w:hAnsi="Times New Roman" w:cs="Times New Roman"/>
          <w:color w:val="222222"/>
          <w:sz w:val="24"/>
          <w:szCs w:val="24"/>
          <w:shd w:val="clear" w:color="auto" w:fill="FFFFFF"/>
        </w:rPr>
        <w:t xml:space="preserve">n approach to understand the influence of contextual factors on the </w:t>
      </w:r>
      <w:r w:rsidR="00B36987" w:rsidRPr="00CF4D44">
        <w:rPr>
          <w:rFonts w:ascii="Times New Roman" w:hAnsi="Times New Roman" w:cs="Times New Roman"/>
          <w:color w:val="222222"/>
          <w:sz w:val="24"/>
          <w:szCs w:val="24"/>
          <w:shd w:val="clear" w:color="auto" w:fill="FFFFFF"/>
        </w:rPr>
        <w:t>process?</w:t>
      </w:r>
      <w:r w:rsidRPr="00CF4D44">
        <w:rPr>
          <w:rFonts w:ascii="Times New Roman" w:hAnsi="Times New Roman" w:cs="Times New Roman"/>
          <w:color w:val="222222"/>
          <w:sz w:val="24"/>
          <w:szCs w:val="24"/>
          <w:shd w:val="clear" w:color="auto" w:fill="FFFFFF"/>
        </w:rPr>
        <w:t> </w:t>
      </w:r>
      <w:r w:rsidRPr="00CF4D44">
        <w:rPr>
          <w:rFonts w:ascii="Times New Roman" w:hAnsi="Times New Roman" w:cs="Times New Roman"/>
          <w:i/>
          <w:iCs/>
          <w:color w:val="222222"/>
          <w:sz w:val="24"/>
          <w:szCs w:val="24"/>
          <w:shd w:val="clear" w:color="auto" w:fill="FFFFFF"/>
        </w:rPr>
        <w:t>BMC Public Health</w:t>
      </w:r>
      <w:r w:rsidRPr="00CF4D44">
        <w:rPr>
          <w:rFonts w:ascii="Times New Roman" w:hAnsi="Times New Roman" w:cs="Times New Roman"/>
          <w:color w:val="222222"/>
          <w:sz w:val="24"/>
          <w:szCs w:val="24"/>
          <w:shd w:val="clear" w:color="auto" w:fill="FFFFFF"/>
        </w:rPr>
        <w:t>, </w:t>
      </w:r>
      <w:r w:rsidRPr="00CF4D44">
        <w:rPr>
          <w:rFonts w:ascii="Times New Roman" w:hAnsi="Times New Roman" w:cs="Times New Roman"/>
          <w:i/>
          <w:iCs/>
          <w:color w:val="222222"/>
          <w:sz w:val="24"/>
          <w:szCs w:val="24"/>
          <w:shd w:val="clear" w:color="auto" w:fill="FFFFFF"/>
        </w:rPr>
        <w:t>18</w:t>
      </w:r>
      <w:r w:rsidRPr="00CF4D44">
        <w:rPr>
          <w:rFonts w:ascii="Times New Roman" w:hAnsi="Times New Roman" w:cs="Times New Roman"/>
          <w:color w:val="222222"/>
          <w:sz w:val="24"/>
          <w:szCs w:val="24"/>
          <w:shd w:val="clear" w:color="auto" w:fill="FFFFFF"/>
        </w:rPr>
        <w:t>(1), 1-17.</w:t>
      </w:r>
      <w:r w:rsidR="00816D49">
        <w:rPr>
          <w:rFonts w:ascii="Times New Roman" w:hAnsi="Times New Roman" w:cs="Times New Roman"/>
          <w:color w:val="222222"/>
          <w:sz w:val="24"/>
          <w:szCs w:val="24"/>
          <w:shd w:val="clear" w:color="auto" w:fill="FFFFFF"/>
        </w:rPr>
        <w:t xml:space="preserve"> </w:t>
      </w:r>
    </w:p>
    <w:p w14:paraId="488C32B8" w14:textId="77777777" w:rsidR="00B36987" w:rsidRDefault="00B36987" w:rsidP="009D4093">
      <w:pPr>
        <w:snapToGri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58167D">
        <w:rPr>
          <w:rFonts w:ascii="Times New Roman" w:hAnsi="Times New Roman" w:cs="Times New Roman"/>
          <w:sz w:val="24"/>
          <w:szCs w:val="24"/>
        </w:rPr>
        <w:t>e Jong, T., &amp;Ferguson-</w:t>
      </w:r>
      <w:proofErr w:type="spellStart"/>
      <w:r w:rsidRPr="0058167D">
        <w:rPr>
          <w:rFonts w:ascii="Times New Roman" w:hAnsi="Times New Roman" w:cs="Times New Roman"/>
          <w:sz w:val="24"/>
          <w:szCs w:val="24"/>
        </w:rPr>
        <w:t>Hessler</w:t>
      </w:r>
      <w:proofErr w:type="spellEnd"/>
      <w:r w:rsidRPr="0058167D">
        <w:rPr>
          <w:rFonts w:ascii="Times New Roman" w:hAnsi="Times New Roman" w:cs="Times New Roman"/>
          <w:sz w:val="24"/>
          <w:szCs w:val="24"/>
        </w:rPr>
        <w:t>, M. G. M. (1996).</w:t>
      </w:r>
      <w:r>
        <w:rPr>
          <w:rFonts w:ascii="Times New Roman" w:hAnsi="Times New Roman" w:cs="Times New Roman"/>
          <w:sz w:val="24"/>
          <w:szCs w:val="24"/>
        </w:rPr>
        <w:t xml:space="preserve"> </w:t>
      </w:r>
      <w:r w:rsidRPr="0058167D">
        <w:rPr>
          <w:rFonts w:ascii="Times New Roman" w:hAnsi="Times New Roman" w:cs="Times New Roman"/>
          <w:sz w:val="24"/>
          <w:szCs w:val="24"/>
        </w:rPr>
        <w:t xml:space="preserve">Types and qualities of knowledge. </w:t>
      </w:r>
    </w:p>
    <w:p w14:paraId="19B22F4B" w14:textId="4EF92EFB" w:rsidR="00B36987" w:rsidRPr="00B36987" w:rsidRDefault="00B36987" w:rsidP="009D4093">
      <w:pPr>
        <w:snapToGrid w:val="0"/>
        <w:spacing w:before="120"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Educational</w:t>
      </w:r>
      <w:r w:rsidRPr="00D5128C">
        <w:rPr>
          <w:rFonts w:ascii="Times New Roman" w:hAnsi="Times New Roman" w:cs="Times New Roman"/>
          <w:i/>
          <w:iCs/>
          <w:sz w:val="24"/>
          <w:szCs w:val="24"/>
        </w:rPr>
        <w:t xml:space="preserve"> Psychologist, 31</w:t>
      </w:r>
      <w:r w:rsidRPr="0058167D">
        <w:rPr>
          <w:rFonts w:ascii="Times New Roman" w:hAnsi="Times New Roman" w:cs="Times New Roman"/>
          <w:sz w:val="24"/>
          <w:szCs w:val="24"/>
        </w:rPr>
        <w:t>(2), 105–113.</w:t>
      </w:r>
      <w:r>
        <w:rPr>
          <w:rFonts w:ascii="Times New Roman" w:hAnsi="Times New Roman" w:cs="Times New Roman"/>
          <w:sz w:val="24"/>
          <w:szCs w:val="24"/>
        </w:rPr>
        <w:t xml:space="preserve"> </w:t>
      </w:r>
      <w:r w:rsidRPr="0058167D">
        <w:rPr>
          <w:rFonts w:ascii="Times New Roman" w:hAnsi="Times New Roman" w:cs="Times New Roman"/>
          <w:sz w:val="24"/>
          <w:szCs w:val="24"/>
        </w:rPr>
        <w:t>https://doi.org/10.1207/s15326985ep3102_2</w:t>
      </w:r>
    </w:p>
    <w:p w14:paraId="2994950C" w14:textId="77777777" w:rsidR="001C563F" w:rsidRDefault="001C563F"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BF1189">
        <w:rPr>
          <w:rFonts w:ascii="Times New Roman" w:hAnsi="Times New Roman" w:cs="Times New Roman"/>
          <w:color w:val="222222"/>
          <w:sz w:val="24"/>
          <w:szCs w:val="24"/>
          <w:shd w:val="clear" w:color="auto" w:fill="FFFFFF"/>
        </w:rPr>
        <w:t xml:space="preserve">Florence, M. D., </w:t>
      </w:r>
      <w:proofErr w:type="spellStart"/>
      <w:r w:rsidRPr="00BF1189">
        <w:rPr>
          <w:rFonts w:ascii="Times New Roman" w:hAnsi="Times New Roman" w:cs="Times New Roman"/>
          <w:color w:val="222222"/>
          <w:sz w:val="24"/>
          <w:szCs w:val="24"/>
          <w:shd w:val="clear" w:color="auto" w:fill="FFFFFF"/>
        </w:rPr>
        <w:t>Asbridge</w:t>
      </w:r>
      <w:proofErr w:type="spellEnd"/>
      <w:r w:rsidRPr="00BF1189">
        <w:rPr>
          <w:rFonts w:ascii="Times New Roman" w:hAnsi="Times New Roman" w:cs="Times New Roman"/>
          <w:color w:val="222222"/>
          <w:sz w:val="24"/>
          <w:szCs w:val="24"/>
          <w:shd w:val="clear" w:color="auto" w:fill="FFFFFF"/>
        </w:rPr>
        <w:t xml:space="preserve">, M., &amp; </w:t>
      </w:r>
      <w:proofErr w:type="spellStart"/>
      <w:r w:rsidRPr="00BF1189">
        <w:rPr>
          <w:rFonts w:ascii="Times New Roman" w:hAnsi="Times New Roman" w:cs="Times New Roman"/>
          <w:color w:val="222222"/>
          <w:sz w:val="24"/>
          <w:szCs w:val="24"/>
          <w:shd w:val="clear" w:color="auto" w:fill="FFFFFF"/>
        </w:rPr>
        <w:t>Veugelers</w:t>
      </w:r>
      <w:proofErr w:type="spellEnd"/>
      <w:r w:rsidRPr="00BF1189">
        <w:rPr>
          <w:rFonts w:ascii="Times New Roman" w:hAnsi="Times New Roman" w:cs="Times New Roman"/>
          <w:color w:val="222222"/>
          <w:sz w:val="24"/>
          <w:szCs w:val="24"/>
          <w:shd w:val="clear" w:color="auto" w:fill="FFFFFF"/>
        </w:rPr>
        <w:t xml:space="preserve">, P. J. (2008). Diet quality and academic </w:t>
      </w:r>
    </w:p>
    <w:p w14:paraId="4E78719D" w14:textId="7C9A02A6" w:rsidR="001C563F" w:rsidRDefault="001C563F" w:rsidP="009D4093">
      <w:pPr>
        <w:snapToGrid w:val="0"/>
        <w:spacing w:before="120" w:after="120" w:line="240" w:lineRule="auto"/>
        <w:ind w:firstLine="720"/>
        <w:jc w:val="both"/>
        <w:rPr>
          <w:rFonts w:ascii="Times New Roman" w:hAnsi="Times New Roman" w:cs="Times New Roman"/>
          <w:color w:val="222222"/>
          <w:sz w:val="24"/>
          <w:szCs w:val="24"/>
          <w:shd w:val="clear" w:color="auto" w:fill="FFFFFF"/>
        </w:rPr>
      </w:pPr>
      <w:r w:rsidRPr="00BF1189">
        <w:rPr>
          <w:rFonts w:ascii="Times New Roman" w:hAnsi="Times New Roman" w:cs="Times New Roman"/>
          <w:color w:val="222222"/>
          <w:sz w:val="24"/>
          <w:szCs w:val="24"/>
          <w:shd w:val="clear" w:color="auto" w:fill="FFFFFF"/>
        </w:rPr>
        <w:t>performance. </w:t>
      </w:r>
      <w:r w:rsidRPr="00BF1189">
        <w:rPr>
          <w:rFonts w:ascii="Times New Roman" w:hAnsi="Times New Roman" w:cs="Times New Roman"/>
          <w:i/>
          <w:iCs/>
          <w:color w:val="222222"/>
          <w:sz w:val="24"/>
          <w:szCs w:val="24"/>
          <w:shd w:val="clear" w:color="auto" w:fill="FFFFFF"/>
        </w:rPr>
        <w:t xml:space="preserve">Journal of </w:t>
      </w:r>
      <w:r w:rsidR="009466DC">
        <w:rPr>
          <w:rFonts w:ascii="Times New Roman" w:hAnsi="Times New Roman" w:cs="Times New Roman"/>
          <w:i/>
          <w:iCs/>
          <w:color w:val="222222"/>
          <w:sz w:val="24"/>
          <w:szCs w:val="24"/>
          <w:shd w:val="clear" w:color="auto" w:fill="FFFFFF"/>
        </w:rPr>
        <w:t>S</w:t>
      </w:r>
      <w:r w:rsidRPr="00BF1189">
        <w:rPr>
          <w:rFonts w:ascii="Times New Roman" w:hAnsi="Times New Roman" w:cs="Times New Roman"/>
          <w:i/>
          <w:iCs/>
          <w:color w:val="222222"/>
          <w:sz w:val="24"/>
          <w:szCs w:val="24"/>
          <w:shd w:val="clear" w:color="auto" w:fill="FFFFFF"/>
        </w:rPr>
        <w:t xml:space="preserve">chool </w:t>
      </w:r>
      <w:r w:rsidR="009466DC">
        <w:rPr>
          <w:rFonts w:ascii="Times New Roman" w:hAnsi="Times New Roman" w:cs="Times New Roman"/>
          <w:i/>
          <w:iCs/>
          <w:color w:val="222222"/>
          <w:sz w:val="24"/>
          <w:szCs w:val="24"/>
          <w:shd w:val="clear" w:color="auto" w:fill="FFFFFF"/>
        </w:rPr>
        <w:t>H</w:t>
      </w:r>
      <w:r w:rsidRPr="00BF1189">
        <w:rPr>
          <w:rFonts w:ascii="Times New Roman" w:hAnsi="Times New Roman" w:cs="Times New Roman"/>
          <w:i/>
          <w:iCs/>
          <w:color w:val="222222"/>
          <w:sz w:val="24"/>
          <w:szCs w:val="24"/>
          <w:shd w:val="clear" w:color="auto" w:fill="FFFFFF"/>
        </w:rPr>
        <w:t>ealth</w:t>
      </w:r>
      <w:r w:rsidRPr="00BF1189">
        <w:rPr>
          <w:rFonts w:ascii="Times New Roman" w:hAnsi="Times New Roman" w:cs="Times New Roman"/>
          <w:color w:val="222222"/>
          <w:sz w:val="24"/>
          <w:szCs w:val="24"/>
          <w:shd w:val="clear" w:color="auto" w:fill="FFFFFF"/>
        </w:rPr>
        <w:t>, </w:t>
      </w:r>
      <w:r w:rsidRPr="00BF1189">
        <w:rPr>
          <w:rFonts w:ascii="Times New Roman" w:hAnsi="Times New Roman" w:cs="Times New Roman"/>
          <w:i/>
          <w:iCs/>
          <w:color w:val="222222"/>
          <w:sz w:val="24"/>
          <w:szCs w:val="24"/>
          <w:shd w:val="clear" w:color="auto" w:fill="FFFFFF"/>
        </w:rPr>
        <w:t>78</w:t>
      </w:r>
      <w:r w:rsidRPr="00BF1189">
        <w:rPr>
          <w:rFonts w:ascii="Times New Roman" w:hAnsi="Times New Roman" w:cs="Times New Roman"/>
          <w:color w:val="222222"/>
          <w:sz w:val="24"/>
          <w:szCs w:val="24"/>
          <w:shd w:val="clear" w:color="auto" w:fill="FFFFFF"/>
        </w:rPr>
        <w:t>(4), 209-215.</w:t>
      </w:r>
    </w:p>
    <w:p w14:paraId="1E6551A0" w14:textId="77777777" w:rsidR="000A1647" w:rsidRDefault="000A1647" w:rsidP="009D4093">
      <w:pPr>
        <w:snapToGrid w:val="0"/>
        <w:spacing w:after="120" w:line="240" w:lineRule="auto"/>
        <w:jc w:val="both"/>
        <w:rPr>
          <w:rFonts w:ascii="Times New Roman" w:hAnsi="Times New Roman" w:cs="Times New Roman"/>
          <w:color w:val="222222"/>
          <w:sz w:val="24"/>
          <w:szCs w:val="24"/>
          <w:shd w:val="clear" w:color="auto" w:fill="FFFFFF"/>
        </w:rPr>
      </w:pPr>
      <w:proofErr w:type="spellStart"/>
      <w:r w:rsidRPr="000B265D">
        <w:rPr>
          <w:rFonts w:ascii="Times New Roman" w:hAnsi="Times New Roman" w:cs="Times New Roman"/>
          <w:color w:val="222222"/>
          <w:sz w:val="24"/>
          <w:szCs w:val="24"/>
          <w:shd w:val="clear" w:color="auto" w:fill="FFFFFF"/>
        </w:rPr>
        <w:t>Fobbs</w:t>
      </w:r>
      <w:proofErr w:type="spellEnd"/>
      <w:r w:rsidRPr="000B265D">
        <w:rPr>
          <w:rFonts w:ascii="Times New Roman" w:hAnsi="Times New Roman" w:cs="Times New Roman"/>
          <w:color w:val="222222"/>
          <w:sz w:val="24"/>
          <w:szCs w:val="24"/>
          <w:shd w:val="clear" w:color="auto" w:fill="FFFFFF"/>
        </w:rPr>
        <w:t xml:space="preserve">, E. (2015). Promoting </w:t>
      </w:r>
      <w:r>
        <w:rPr>
          <w:rFonts w:ascii="Times New Roman" w:hAnsi="Times New Roman" w:cs="Times New Roman"/>
          <w:color w:val="222222"/>
          <w:sz w:val="24"/>
          <w:szCs w:val="24"/>
          <w:shd w:val="clear" w:color="auto" w:fill="FFFFFF"/>
        </w:rPr>
        <w:t>s</w:t>
      </w:r>
      <w:r w:rsidRPr="000B265D">
        <w:rPr>
          <w:rFonts w:ascii="Times New Roman" w:hAnsi="Times New Roman" w:cs="Times New Roman"/>
          <w:color w:val="222222"/>
          <w:sz w:val="24"/>
          <w:szCs w:val="24"/>
          <w:shd w:val="clear" w:color="auto" w:fill="FFFFFF"/>
        </w:rPr>
        <w:t xml:space="preserve">tudent </w:t>
      </w:r>
      <w:r>
        <w:rPr>
          <w:rFonts w:ascii="Times New Roman" w:hAnsi="Times New Roman" w:cs="Times New Roman"/>
          <w:color w:val="222222"/>
          <w:sz w:val="24"/>
          <w:szCs w:val="24"/>
          <w:shd w:val="clear" w:color="auto" w:fill="FFFFFF"/>
        </w:rPr>
        <w:t>a</w:t>
      </w:r>
      <w:r w:rsidRPr="000B265D">
        <w:rPr>
          <w:rFonts w:ascii="Times New Roman" w:hAnsi="Times New Roman" w:cs="Times New Roman"/>
          <w:color w:val="222222"/>
          <w:sz w:val="24"/>
          <w:szCs w:val="24"/>
          <w:shd w:val="clear" w:color="auto" w:fill="FFFFFF"/>
        </w:rPr>
        <w:t xml:space="preserve">chievement through </w:t>
      </w:r>
      <w:r>
        <w:rPr>
          <w:rFonts w:ascii="Times New Roman" w:hAnsi="Times New Roman" w:cs="Times New Roman"/>
          <w:color w:val="222222"/>
          <w:sz w:val="24"/>
          <w:szCs w:val="24"/>
          <w:shd w:val="clear" w:color="auto" w:fill="FFFFFF"/>
        </w:rPr>
        <w:t>i</w:t>
      </w:r>
      <w:r w:rsidRPr="000B265D">
        <w:rPr>
          <w:rFonts w:ascii="Times New Roman" w:hAnsi="Times New Roman" w:cs="Times New Roman"/>
          <w:color w:val="222222"/>
          <w:sz w:val="24"/>
          <w:szCs w:val="24"/>
          <w:shd w:val="clear" w:color="auto" w:fill="FFFFFF"/>
        </w:rPr>
        <w:t xml:space="preserve">mproved </w:t>
      </w:r>
      <w:r>
        <w:rPr>
          <w:rFonts w:ascii="Times New Roman" w:hAnsi="Times New Roman" w:cs="Times New Roman"/>
          <w:color w:val="222222"/>
          <w:sz w:val="24"/>
          <w:szCs w:val="24"/>
          <w:shd w:val="clear" w:color="auto" w:fill="FFFFFF"/>
        </w:rPr>
        <w:t>h</w:t>
      </w:r>
      <w:r w:rsidRPr="000B265D">
        <w:rPr>
          <w:rFonts w:ascii="Times New Roman" w:hAnsi="Times New Roman" w:cs="Times New Roman"/>
          <w:color w:val="222222"/>
          <w:sz w:val="24"/>
          <w:szCs w:val="24"/>
          <w:shd w:val="clear" w:color="auto" w:fill="FFFFFF"/>
        </w:rPr>
        <w:t xml:space="preserve">ealth </w:t>
      </w:r>
      <w:r>
        <w:rPr>
          <w:rFonts w:ascii="Times New Roman" w:hAnsi="Times New Roman" w:cs="Times New Roman"/>
          <w:color w:val="222222"/>
          <w:sz w:val="24"/>
          <w:szCs w:val="24"/>
          <w:shd w:val="clear" w:color="auto" w:fill="FFFFFF"/>
        </w:rPr>
        <w:t>p</w:t>
      </w:r>
      <w:r w:rsidRPr="000B265D">
        <w:rPr>
          <w:rFonts w:ascii="Times New Roman" w:hAnsi="Times New Roman" w:cs="Times New Roman"/>
          <w:color w:val="222222"/>
          <w:sz w:val="24"/>
          <w:szCs w:val="24"/>
          <w:shd w:val="clear" w:color="auto" w:fill="FFFFFF"/>
        </w:rPr>
        <w:t xml:space="preserve">olicy. Policy </w:t>
      </w:r>
    </w:p>
    <w:p w14:paraId="2B1B1E0C" w14:textId="372EEDCB" w:rsidR="000A1647" w:rsidRPr="000A1647" w:rsidRDefault="000A1647" w:rsidP="009D4093">
      <w:pPr>
        <w:snapToGrid w:val="0"/>
        <w:spacing w:after="120" w:line="240" w:lineRule="auto"/>
        <w:ind w:firstLine="720"/>
        <w:jc w:val="both"/>
        <w:rPr>
          <w:rFonts w:ascii="Times New Roman" w:hAnsi="Times New Roman" w:cs="Times New Roman"/>
          <w:color w:val="222222"/>
          <w:sz w:val="36"/>
          <w:szCs w:val="36"/>
          <w:shd w:val="clear" w:color="auto" w:fill="FFFFFF"/>
        </w:rPr>
      </w:pPr>
      <w:r w:rsidRPr="000B265D">
        <w:rPr>
          <w:rFonts w:ascii="Times New Roman" w:hAnsi="Times New Roman" w:cs="Times New Roman"/>
          <w:color w:val="222222"/>
          <w:sz w:val="24"/>
          <w:szCs w:val="24"/>
          <w:shd w:val="clear" w:color="auto" w:fill="FFFFFF"/>
        </w:rPr>
        <w:t>Update. Vol. 22, No. 11. </w:t>
      </w:r>
      <w:r w:rsidRPr="000B265D">
        <w:rPr>
          <w:rFonts w:ascii="Times New Roman" w:hAnsi="Times New Roman" w:cs="Times New Roman"/>
          <w:i/>
          <w:iCs/>
          <w:color w:val="222222"/>
          <w:sz w:val="24"/>
          <w:szCs w:val="24"/>
          <w:shd w:val="clear" w:color="auto" w:fill="FFFFFF"/>
        </w:rPr>
        <w:t>National Association of State Boards of Education</w:t>
      </w:r>
      <w:r w:rsidRPr="000B265D">
        <w:rPr>
          <w:rFonts w:ascii="Times New Roman" w:hAnsi="Times New Roman" w:cs="Times New Roman"/>
          <w:color w:val="222222"/>
          <w:sz w:val="24"/>
          <w:szCs w:val="24"/>
          <w:shd w:val="clear" w:color="auto" w:fill="FFFFFF"/>
        </w:rPr>
        <w:t xml:space="preserve">. </w:t>
      </w:r>
    </w:p>
    <w:p w14:paraId="6C8CB41B" w14:textId="77777777" w:rsidR="00483A4A" w:rsidRDefault="00483A4A"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D25F07">
        <w:rPr>
          <w:rFonts w:ascii="Times New Roman" w:hAnsi="Times New Roman" w:cs="Times New Roman"/>
          <w:color w:val="222222"/>
          <w:sz w:val="24"/>
          <w:szCs w:val="24"/>
          <w:shd w:val="clear" w:color="auto" w:fill="FFFFFF"/>
        </w:rPr>
        <w:t xml:space="preserve">Forrest, C. B., Bevans, K. B., Riley, A. W., Crespo, R., &amp; Louis, T. A. (2013). Health and </w:t>
      </w:r>
    </w:p>
    <w:p w14:paraId="32FDFC1A" w14:textId="34E22994" w:rsidR="00483A4A" w:rsidRDefault="00483A4A"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D25F07">
        <w:rPr>
          <w:rFonts w:ascii="Times New Roman" w:hAnsi="Times New Roman" w:cs="Times New Roman"/>
          <w:color w:val="222222"/>
          <w:sz w:val="24"/>
          <w:szCs w:val="24"/>
          <w:shd w:val="clear" w:color="auto" w:fill="FFFFFF"/>
        </w:rPr>
        <w:t>school outcomes during children's transition into adolescence. </w:t>
      </w:r>
      <w:r w:rsidRPr="00D25F07">
        <w:rPr>
          <w:rFonts w:ascii="Times New Roman" w:hAnsi="Times New Roman" w:cs="Times New Roman"/>
          <w:i/>
          <w:iCs/>
          <w:color w:val="222222"/>
          <w:sz w:val="24"/>
          <w:szCs w:val="24"/>
          <w:shd w:val="clear" w:color="auto" w:fill="FFFFFF"/>
        </w:rPr>
        <w:t>Journal of Adolescent Health</w:t>
      </w:r>
      <w:r w:rsidRPr="00D25F07">
        <w:rPr>
          <w:rFonts w:ascii="Times New Roman" w:hAnsi="Times New Roman" w:cs="Times New Roman"/>
          <w:color w:val="222222"/>
          <w:sz w:val="24"/>
          <w:szCs w:val="24"/>
          <w:shd w:val="clear" w:color="auto" w:fill="FFFFFF"/>
        </w:rPr>
        <w:t>, </w:t>
      </w:r>
      <w:r w:rsidRPr="00D25F07">
        <w:rPr>
          <w:rFonts w:ascii="Times New Roman" w:hAnsi="Times New Roman" w:cs="Times New Roman"/>
          <w:i/>
          <w:iCs/>
          <w:color w:val="222222"/>
          <w:sz w:val="24"/>
          <w:szCs w:val="24"/>
          <w:shd w:val="clear" w:color="auto" w:fill="FFFFFF"/>
        </w:rPr>
        <w:t>52</w:t>
      </w:r>
      <w:r w:rsidRPr="00D25F07">
        <w:rPr>
          <w:rFonts w:ascii="Times New Roman" w:hAnsi="Times New Roman" w:cs="Times New Roman"/>
          <w:color w:val="222222"/>
          <w:sz w:val="24"/>
          <w:szCs w:val="24"/>
          <w:shd w:val="clear" w:color="auto" w:fill="FFFFFF"/>
        </w:rPr>
        <w:t>(2), 186-194.</w:t>
      </w:r>
    </w:p>
    <w:p w14:paraId="13D70842" w14:textId="77777777" w:rsidR="00A31BCB" w:rsidRDefault="00A31BCB"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5030BD">
        <w:rPr>
          <w:rFonts w:ascii="Times New Roman" w:hAnsi="Times New Roman" w:cs="Times New Roman"/>
          <w:color w:val="222222"/>
          <w:sz w:val="24"/>
          <w:szCs w:val="24"/>
          <w:shd w:val="clear" w:color="auto" w:fill="FFFFFF"/>
        </w:rPr>
        <w:t xml:space="preserve">Gargano, L., Mason, M. K., &amp; Northridge, M. E. (2019). Advancing oral health equity through </w:t>
      </w:r>
    </w:p>
    <w:p w14:paraId="19B137E6" w14:textId="0A48544F" w:rsidR="00A31BCB" w:rsidRDefault="00A31BCB"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5030BD">
        <w:rPr>
          <w:rFonts w:ascii="Times New Roman" w:hAnsi="Times New Roman" w:cs="Times New Roman"/>
          <w:color w:val="222222"/>
          <w:sz w:val="24"/>
          <w:szCs w:val="24"/>
          <w:shd w:val="clear" w:color="auto" w:fill="FFFFFF"/>
        </w:rPr>
        <w:t>school-based oral health programs: An ecological model and review. </w:t>
      </w:r>
      <w:r w:rsidRPr="005030BD">
        <w:rPr>
          <w:rFonts w:ascii="Times New Roman" w:hAnsi="Times New Roman" w:cs="Times New Roman"/>
          <w:i/>
          <w:iCs/>
          <w:color w:val="222222"/>
          <w:sz w:val="24"/>
          <w:szCs w:val="24"/>
          <w:shd w:val="clear" w:color="auto" w:fill="FFFFFF"/>
        </w:rPr>
        <w:t>Frontiers in public health</w:t>
      </w:r>
      <w:r w:rsidRPr="005030BD">
        <w:rPr>
          <w:rFonts w:ascii="Times New Roman" w:hAnsi="Times New Roman" w:cs="Times New Roman"/>
          <w:color w:val="222222"/>
          <w:sz w:val="24"/>
          <w:szCs w:val="24"/>
          <w:shd w:val="clear" w:color="auto" w:fill="FFFFFF"/>
        </w:rPr>
        <w:t>, </w:t>
      </w:r>
      <w:r w:rsidRPr="005030BD">
        <w:rPr>
          <w:rFonts w:ascii="Times New Roman" w:hAnsi="Times New Roman" w:cs="Times New Roman"/>
          <w:i/>
          <w:iCs/>
          <w:color w:val="222222"/>
          <w:sz w:val="24"/>
          <w:szCs w:val="24"/>
          <w:shd w:val="clear" w:color="auto" w:fill="FFFFFF"/>
        </w:rPr>
        <w:t>7</w:t>
      </w:r>
      <w:r w:rsidRPr="005030BD">
        <w:rPr>
          <w:rFonts w:ascii="Times New Roman" w:hAnsi="Times New Roman" w:cs="Times New Roman"/>
          <w:color w:val="222222"/>
          <w:sz w:val="24"/>
          <w:szCs w:val="24"/>
          <w:shd w:val="clear" w:color="auto" w:fill="FFFFFF"/>
        </w:rPr>
        <w:t>, 359.</w:t>
      </w:r>
    </w:p>
    <w:p w14:paraId="20E34958" w14:textId="77777777" w:rsidR="001C22F9" w:rsidRDefault="001C22F9"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302A57">
        <w:rPr>
          <w:rFonts w:ascii="Times New Roman" w:hAnsi="Times New Roman" w:cs="Times New Roman"/>
          <w:color w:val="222222"/>
          <w:sz w:val="24"/>
          <w:szCs w:val="24"/>
          <w:shd w:val="clear" w:color="auto" w:fill="FFFFFF"/>
        </w:rPr>
        <w:t xml:space="preserve">Guo, P., Saab, N., Post, L. S., &amp; Admiraal, W. (2020). A review of project-based learning in </w:t>
      </w:r>
    </w:p>
    <w:p w14:paraId="6361E7BC" w14:textId="4668BBE7" w:rsidR="001C22F9" w:rsidRDefault="001C22F9"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302A57">
        <w:rPr>
          <w:rFonts w:ascii="Times New Roman" w:hAnsi="Times New Roman" w:cs="Times New Roman"/>
          <w:color w:val="222222"/>
          <w:sz w:val="24"/>
          <w:szCs w:val="24"/>
          <w:shd w:val="clear" w:color="auto" w:fill="FFFFFF"/>
        </w:rPr>
        <w:t>higher education: Student outcomes and measures. </w:t>
      </w:r>
      <w:r w:rsidRPr="00302A57">
        <w:rPr>
          <w:rFonts w:ascii="Times New Roman" w:hAnsi="Times New Roman" w:cs="Times New Roman"/>
          <w:i/>
          <w:iCs/>
          <w:color w:val="222222"/>
          <w:sz w:val="24"/>
          <w:szCs w:val="24"/>
          <w:shd w:val="clear" w:color="auto" w:fill="FFFFFF"/>
        </w:rPr>
        <w:t>International journal of educational research</w:t>
      </w:r>
      <w:r w:rsidRPr="00302A57">
        <w:rPr>
          <w:rFonts w:ascii="Times New Roman" w:hAnsi="Times New Roman" w:cs="Times New Roman"/>
          <w:color w:val="222222"/>
          <w:sz w:val="24"/>
          <w:szCs w:val="24"/>
          <w:shd w:val="clear" w:color="auto" w:fill="FFFFFF"/>
        </w:rPr>
        <w:t>, </w:t>
      </w:r>
      <w:r w:rsidRPr="00302A57">
        <w:rPr>
          <w:rFonts w:ascii="Times New Roman" w:hAnsi="Times New Roman" w:cs="Times New Roman"/>
          <w:i/>
          <w:iCs/>
          <w:color w:val="222222"/>
          <w:sz w:val="24"/>
          <w:szCs w:val="24"/>
          <w:shd w:val="clear" w:color="auto" w:fill="FFFFFF"/>
        </w:rPr>
        <w:t>102</w:t>
      </w:r>
      <w:r w:rsidRPr="00302A57">
        <w:rPr>
          <w:rFonts w:ascii="Times New Roman" w:hAnsi="Times New Roman" w:cs="Times New Roman"/>
          <w:color w:val="222222"/>
          <w:sz w:val="24"/>
          <w:szCs w:val="24"/>
          <w:shd w:val="clear" w:color="auto" w:fill="FFFFFF"/>
        </w:rPr>
        <w:t>, 101586.</w:t>
      </w:r>
    </w:p>
    <w:p w14:paraId="7AED421C" w14:textId="77777777" w:rsidR="004E7F9E" w:rsidRDefault="004E7F9E" w:rsidP="009D4093">
      <w:pPr>
        <w:snapToGrid w:val="0"/>
        <w:spacing w:before="120" w:after="12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Jude, L. T., </w:t>
      </w:r>
      <w:proofErr w:type="spellStart"/>
      <w:r>
        <w:rPr>
          <w:rFonts w:ascii="Times New Roman" w:hAnsi="Times New Roman" w:cs="Times New Roman"/>
          <w:color w:val="222222"/>
          <w:sz w:val="24"/>
          <w:szCs w:val="24"/>
          <w:shd w:val="clear" w:color="auto" w:fill="FFFFFF"/>
        </w:rPr>
        <w:t>Kajura</w:t>
      </w:r>
      <w:proofErr w:type="spellEnd"/>
      <w:r>
        <w:rPr>
          <w:rFonts w:ascii="Times New Roman" w:hAnsi="Times New Roman" w:cs="Times New Roman"/>
          <w:color w:val="222222"/>
          <w:sz w:val="24"/>
          <w:szCs w:val="24"/>
          <w:shd w:val="clear" w:color="auto" w:fill="FFFFFF"/>
        </w:rPr>
        <w:t xml:space="preserve">, M. A., &amp; </w:t>
      </w:r>
      <w:proofErr w:type="spellStart"/>
      <w:r>
        <w:rPr>
          <w:rFonts w:ascii="Times New Roman" w:hAnsi="Times New Roman" w:cs="Times New Roman"/>
          <w:color w:val="222222"/>
          <w:sz w:val="24"/>
          <w:szCs w:val="24"/>
          <w:shd w:val="clear" w:color="auto" w:fill="FFFFFF"/>
        </w:rPr>
        <w:t>Birevu</w:t>
      </w:r>
      <w:proofErr w:type="spellEnd"/>
      <w:r>
        <w:rPr>
          <w:rFonts w:ascii="Times New Roman" w:hAnsi="Times New Roman" w:cs="Times New Roman"/>
          <w:color w:val="222222"/>
          <w:sz w:val="24"/>
          <w:szCs w:val="24"/>
          <w:shd w:val="clear" w:color="auto" w:fill="FFFFFF"/>
        </w:rPr>
        <w:t xml:space="preserve">, M. P. (2014). Adoption of the SAMR model to assess </w:t>
      </w:r>
    </w:p>
    <w:p w14:paraId="187B65EB" w14:textId="4505647F" w:rsidR="004E7F9E" w:rsidRDefault="004E7F9E"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ICT pedagogical adoption: A case of Makerere University. </w:t>
      </w:r>
      <w:r w:rsidRPr="004E7F9E">
        <w:rPr>
          <w:rFonts w:ascii="Times New Roman" w:hAnsi="Times New Roman" w:cs="Times New Roman"/>
          <w:i/>
          <w:iCs/>
          <w:color w:val="222222"/>
          <w:sz w:val="24"/>
          <w:szCs w:val="24"/>
          <w:shd w:val="clear" w:color="auto" w:fill="FFFFFF"/>
        </w:rPr>
        <w:t>International Journal of e-Education, e-Business, e-Management and e-Learning, 4</w:t>
      </w:r>
      <w:r>
        <w:rPr>
          <w:rFonts w:ascii="Times New Roman" w:hAnsi="Times New Roman" w:cs="Times New Roman"/>
          <w:color w:val="222222"/>
          <w:sz w:val="24"/>
          <w:szCs w:val="24"/>
          <w:shd w:val="clear" w:color="auto" w:fill="FFFFFF"/>
        </w:rPr>
        <w:t>(2), 106-115</w:t>
      </w:r>
    </w:p>
    <w:p w14:paraId="66B8402D" w14:textId="77777777" w:rsidR="00B67C38" w:rsidRDefault="00B67C38" w:rsidP="009D4093">
      <w:pPr>
        <w:snapToGrid w:val="0"/>
        <w:spacing w:before="120" w:after="120" w:line="240" w:lineRule="auto"/>
        <w:jc w:val="both"/>
        <w:rPr>
          <w:rFonts w:ascii="Times New Roman" w:hAnsi="Times New Roman" w:cs="Times New Roman"/>
          <w:color w:val="222222"/>
          <w:sz w:val="24"/>
          <w:szCs w:val="24"/>
          <w:shd w:val="clear" w:color="auto" w:fill="FFFFFF"/>
        </w:rPr>
      </w:pPr>
      <w:proofErr w:type="spellStart"/>
      <w:r w:rsidRPr="00BB220F">
        <w:rPr>
          <w:rFonts w:ascii="Times New Roman" w:hAnsi="Times New Roman" w:cs="Times New Roman"/>
          <w:color w:val="222222"/>
          <w:sz w:val="24"/>
          <w:szCs w:val="24"/>
          <w:shd w:val="clear" w:color="auto" w:fill="FFFFFF"/>
        </w:rPr>
        <w:t>Kase</w:t>
      </w:r>
      <w:proofErr w:type="spellEnd"/>
      <w:r w:rsidRPr="00BB220F">
        <w:rPr>
          <w:rFonts w:ascii="Times New Roman" w:hAnsi="Times New Roman" w:cs="Times New Roman"/>
          <w:color w:val="222222"/>
          <w:sz w:val="24"/>
          <w:szCs w:val="24"/>
          <w:shd w:val="clear" w:color="auto" w:fill="FFFFFF"/>
        </w:rPr>
        <w:t xml:space="preserve">, C., Hoover, S., Boyd, G., West, K. D., </w:t>
      </w:r>
      <w:proofErr w:type="spellStart"/>
      <w:r w:rsidRPr="00BB220F">
        <w:rPr>
          <w:rFonts w:ascii="Times New Roman" w:hAnsi="Times New Roman" w:cs="Times New Roman"/>
          <w:color w:val="222222"/>
          <w:sz w:val="24"/>
          <w:szCs w:val="24"/>
          <w:shd w:val="clear" w:color="auto" w:fill="FFFFFF"/>
        </w:rPr>
        <w:t>Dubenitz</w:t>
      </w:r>
      <w:proofErr w:type="spellEnd"/>
      <w:r w:rsidRPr="00BB220F">
        <w:rPr>
          <w:rFonts w:ascii="Times New Roman" w:hAnsi="Times New Roman" w:cs="Times New Roman"/>
          <w:color w:val="222222"/>
          <w:sz w:val="24"/>
          <w:szCs w:val="24"/>
          <w:shd w:val="clear" w:color="auto" w:fill="FFFFFF"/>
        </w:rPr>
        <w:t xml:space="preserve">, J., Trivedi, P. A., ... &amp; Stein, B. D. </w:t>
      </w:r>
    </w:p>
    <w:p w14:paraId="52D72DA1" w14:textId="42703BF0" w:rsidR="00B67C38" w:rsidRDefault="00B67C38"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BB220F">
        <w:rPr>
          <w:rFonts w:ascii="Times New Roman" w:hAnsi="Times New Roman" w:cs="Times New Roman"/>
          <w:color w:val="222222"/>
          <w:sz w:val="24"/>
          <w:szCs w:val="24"/>
          <w:shd w:val="clear" w:color="auto" w:fill="FFFFFF"/>
        </w:rPr>
        <w:t>(2017). Educational outcomes associated with school behavioral health interventions: A review of the literature. </w:t>
      </w:r>
      <w:r w:rsidRPr="00BB220F">
        <w:rPr>
          <w:rFonts w:ascii="Times New Roman" w:hAnsi="Times New Roman" w:cs="Times New Roman"/>
          <w:i/>
          <w:iCs/>
          <w:color w:val="222222"/>
          <w:sz w:val="24"/>
          <w:szCs w:val="24"/>
          <w:shd w:val="clear" w:color="auto" w:fill="FFFFFF"/>
        </w:rPr>
        <w:t>Journal of School Health</w:t>
      </w:r>
      <w:r w:rsidRPr="00BB220F">
        <w:rPr>
          <w:rFonts w:ascii="Times New Roman" w:hAnsi="Times New Roman" w:cs="Times New Roman"/>
          <w:color w:val="222222"/>
          <w:sz w:val="24"/>
          <w:szCs w:val="24"/>
          <w:shd w:val="clear" w:color="auto" w:fill="FFFFFF"/>
        </w:rPr>
        <w:t>, </w:t>
      </w:r>
      <w:r w:rsidRPr="00BB220F">
        <w:rPr>
          <w:rFonts w:ascii="Times New Roman" w:hAnsi="Times New Roman" w:cs="Times New Roman"/>
          <w:i/>
          <w:iCs/>
          <w:color w:val="222222"/>
          <w:sz w:val="24"/>
          <w:szCs w:val="24"/>
          <w:shd w:val="clear" w:color="auto" w:fill="FFFFFF"/>
        </w:rPr>
        <w:t>87</w:t>
      </w:r>
      <w:r w:rsidRPr="00BB220F">
        <w:rPr>
          <w:rFonts w:ascii="Times New Roman" w:hAnsi="Times New Roman" w:cs="Times New Roman"/>
          <w:color w:val="222222"/>
          <w:sz w:val="24"/>
          <w:szCs w:val="24"/>
          <w:shd w:val="clear" w:color="auto" w:fill="FFFFFF"/>
        </w:rPr>
        <w:t>(7), 554-562.</w:t>
      </w:r>
    </w:p>
    <w:p w14:paraId="0A8572DF" w14:textId="77777777" w:rsidR="00620FA7" w:rsidRDefault="00620FA7" w:rsidP="009D4093">
      <w:pPr>
        <w:snapToGrid w:val="0"/>
        <w:spacing w:before="120" w:after="120" w:line="240" w:lineRule="auto"/>
        <w:rPr>
          <w:rFonts w:ascii="Times New Roman" w:hAnsi="Times New Roman" w:cs="Times New Roman"/>
          <w:color w:val="222222"/>
          <w:sz w:val="24"/>
          <w:szCs w:val="24"/>
          <w:shd w:val="clear" w:color="auto" w:fill="FFFFFF"/>
        </w:rPr>
      </w:pPr>
      <w:r w:rsidRPr="0084192B">
        <w:rPr>
          <w:rFonts w:ascii="Times New Roman" w:hAnsi="Times New Roman" w:cs="Times New Roman"/>
          <w:color w:val="222222"/>
          <w:sz w:val="24"/>
          <w:szCs w:val="24"/>
          <w:shd w:val="clear" w:color="auto" w:fill="FFFFFF"/>
        </w:rPr>
        <w:t xml:space="preserve">Kelley, B., &amp; Silva-Padrón, G. (2023). Addressing </w:t>
      </w:r>
      <w:r>
        <w:rPr>
          <w:rFonts w:ascii="Times New Roman" w:hAnsi="Times New Roman" w:cs="Times New Roman"/>
          <w:color w:val="222222"/>
          <w:sz w:val="24"/>
          <w:szCs w:val="24"/>
          <w:shd w:val="clear" w:color="auto" w:fill="FFFFFF"/>
        </w:rPr>
        <w:t>h</w:t>
      </w:r>
      <w:r w:rsidRPr="0084192B">
        <w:rPr>
          <w:rFonts w:ascii="Times New Roman" w:hAnsi="Times New Roman" w:cs="Times New Roman"/>
          <w:color w:val="222222"/>
          <w:sz w:val="24"/>
          <w:szCs w:val="24"/>
          <w:shd w:val="clear" w:color="auto" w:fill="FFFFFF"/>
        </w:rPr>
        <w:t xml:space="preserve">ealth </w:t>
      </w:r>
      <w:r>
        <w:rPr>
          <w:rFonts w:ascii="Times New Roman" w:hAnsi="Times New Roman" w:cs="Times New Roman"/>
          <w:color w:val="222222"/>
          <w:sz w:val="24"/>
          <w:szCs w:val="24"/>
          <w:shd w:val="clear" w:color="auto" w:fill="FFFFFF"/>
        </w:rPr>
        <w:t>d</w:t>
      </w:r>
      <w:r w:rsidRPr="0084192B">
        <w:rPr>
          <w:rFonts w:ascii="Times New Roman" w:hAnsi="Times New Roman" w:cs="Times New Roman"/>
          <w:color w:val="222222"/>
          <w:sz w:val="24"/>
          <w:szCs w:val="24"/>
          <w:shd w:val="clear" w:color="auto" w:fill="FFFFFF"/>
        </w:rPr>
        <w:t xml:space="preserve">isparities through </w:t>
      </w:r>
      <w:r>
        <w:rPr>
          <w:rFonts w:ascii="Times New Roman" w:hAnsi="Times New Roman" w:cs="Times New Roman"/>
          <w:color w:val="222222"/>
          <w:sz w:val="24"/>
          <w:szCs w:val="24"/>
          <w:shd w:val="clear" w:color="auto" w:fill="FFFFFF"/>
        </w:rPr>
        <w:t>s</w:t>
      </w:r>
      <w:r w:rsidRPr="0084192B">
        <w:rPr>
          <w:rFonts w:ascii="Times New Roman" w:hAnsi="Times New Roman" w:cs="Times New Roman"/>
          <w:color w:val="222222"/>
          <w:sz w:val="24"/>
          <w:szCs w:val="24"/>
          <w:shd w:val="clear" w:color="auto" w:fill="FFFFFF"/>
        </w:rPr>
        <w:t>chool-</w:t>
      </w:r>
      <w:r>
        <w:rPr>
          <w:rFonts w:ascii="Times New Roman" w:hAnsi="Times New Roman" w:cs="Times New Roman"/>
          <w:color w:val="222222"/>
          <w:sz w:val="24"/>
          <w:szCs w:val="24"/>
          <w:shd w:val="clear" w:color="auto" w:fill="FFFFFF"/>
        </w:rPr>
        <w:t>b</w:t>
      </w:r>
      <w:r w:rsidRPr="0084192B">
        <w:rPr>
          <w:rFonts w:ascii="Times New Roman" w:hAnsi="Times New Roman" w:cs="Times New Roman"/>
          <w:color w:val="222222"/>
          <w:sz w:val="24"/>
          <w:szCs w:val="24"/>
          <w:shd w:val="clear" w:color="auto" w:fill="FFFFFF"/>
        </w:rPr>
        <w:t xml:space="preserve">ased </w:t>
      </w:r>
    </w:p>
    <w:p w14:paraId="05E76A63" w14:textId="732B94D9" w:rsidR="00620FA7" w:rsidRPr="00620FA7" w:rsidRDefault="00620FA7" w:rsidP="009D4093">
      <w:pPr>
        <w:snapToGrid w:val="0"/>
        <w:spacing w:before="120" w:after="120" w:line="240" w:lineRule="auto"/>
        <w:ind w:firstLine="720"/>
        <w:rPr>
          <w:rFonts w:ascii="Times New Roman" w:hAnsi="Times New Roman" w:cs="Times New Roman"/>
          <w:sz w:val="36"/>
          <w:szCs w:val="36"/>
        </w:rPr>
      </w:pPr>
      <w:r>
        <w:rPr>
          <w:rFonts w:ascii="Times New Roman" w:hAnsi="Times New Roman" w:cs="Times New Roman"/>
          <w:color w:val="222222"/>
          <w:sz w:val="24"/>
          <w:szCs w:val="24"/>
          <w:shd w:val="clear" w:color="auto" w:fill="FFFFFF"/>
        </w:rPr>
        <w:t>h</w:t>
      </w:r>
      <w:r w:rsidRPr="0084192B">
        <w:rPr>
          <w:rFonts w:ascii="Times New Roman" w:hAnsi="Times New Roman" w:cs="Times New Roman"/>
          <w:color w:val="222222"/>
          <w:sz w:val="24"/>
          <w:szCs w:val="24"/>
          <w:shd w:val="clear" w:color="auto" w:fill="FFFFFF"/>
        </w:rPr>
        <w:t xml:space="preserve">ealth </w:t>
      </w:r>
      <w:r>
        <w:rPr>
          <w:rFonts w:ascii="Times New Roman" w:hAnsi="Times New Roman" w:cs="Times New Roman"/>
          <w:color w:val="222222"/>
          <w:sz w:val="24"/>
          <w:szCs w:val="24"/>
          <w:shd w:val="clear" w:color="auto" w:fill="FFFFFF"/>
        </w:rPr>
        <w:t>s</w:t>
      </w:r>
      <w:r w:rsidRPr="0084192B">
        <w:rPr>
          <w:rFonts w:ascii="Times New Roman" w:hAnsi="Times New Roman" w:cs="Times New Roman"/>
          <w:color w:val="222222"/>
          <w:sz w:val="24"/>
          <w:szCs w:val="24"/>
          <w:shd w:val="clear" w:color="auto" w:fill="FFFFFF"/>
        </w:rPr>
        <w:t>ervices. Policy Brief. </w:t>
      </w:r>
      <w:r w:rsidRPr="0084192B">
        <w:rPr>
          <w:rFonts w:ascii="Times New Roman" w:hAnsi="Times New Roman" w:cs="Times New Roman"/>
          <w:i/>
          <w:iCs/>
          <w:color w:val="222222"/>
          <w:sz w:val="24"/>
          <w:szCs w:val="24"/>
          <w:shd w:val="clear" w:color="auto" w:fill="FFFFFF"/>
        </w:rPr>
        <w:t>Education Commission of the States</w:t>
      </w:r>
      <w:r w:rsidRPr="0084192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07179741" w14:textId="77777777" w:rsidR="00625572" w:rsidRDefault="00625572" w:rsidP="009D4093">
      <w:pPr>
        <w:snapToGrid w:val="0"/>
        <w:spacing w:before="120" w:after="120" w:line="240" w:lineRule="auto"/>
        <w:jc w:val="both"/>
        <w:rPr>
          <w:rFonts w:ascii="Times New Roman" w:hAnsi="Times New Roman" w:cs="Times New Roman"/>
          <w:color w:val="222222"/>
          <w:sz w:val="24"/>
          <w:szCs w:val="24"/>
          <w:shd w:val="clear" w:color="auto" w:fill="FFFFFF"/>
        </w:rPr>
      </w:pPr>
      <w:proofErr w:type="spellStart"/>
      <w:r w:rsidRPr="00BD382E">
        <w:rPr>
          <w:rFonts w:ascii="Times New Roman" w:hAnsi="Times New Roman" w:cs="Times New Roman"/>
          <w:color w:val="222222"/>
          <w:sz w:val="24"/>
          <w:szCs w:val="24"/>
          <w:shd w:val="clear" w:color="auto" w:fill="FFFFFF"/>
        </w:rPr>
        <w:t>Kibriya</w:t>
      </w:r>
      <w:proofErr w:type="spellEnd"/>
      <w:r w:rsidRPr="00BD382E">
        <w:rPr>
          <w:rFonts w:ascii="Times New Roman" w:hAnsi="Times New Roman" w:cs="Times New Roman"/>
          <w:color w:val="222222"/>
          <w:sz w:val="24"/>
          <w:szCs w:val="24"/>
          <w:shd w:val="clear" w:color="auto" w:fill="FFFFFF"/>
        </w:rPr>
        <w:t xml:space="preserve">, S., &amp; Jones, G. (2021). The impact of a safe learning environment in schools on </w:t>
      </w:r>
    </w:p>
    <w:p w14:paraId="47456443" w14:textId="7F3CA9F3" w:rsidR="00625572" w:rsidRPr="00625572" w:rsidRDefault="00625572" w:rsidP="009D4093">
      <w:pPr>
        <w:snapToGrid w:val="0"/>
        <w:spacing w:before="120" w:after="120" w:line="240" w:lineRule="auto"/>
        <w:ind w:left="720"/>
        <w:jc w:val="both"/>
        <w:rPr>
          <w:rFonts w:ascii="Times New Roman" w:hAnsi="Times New Roman" w:cs="Times New Roman"/>
          <w:sz w:val="32"/>
          <w:szCs w:val="32"/>
        </w:rPr>
      </w:pPr>
      <w:r w:rsidRPr="00BD382E">
        <w:rPr>
          <w:rFonts w:ascii="Times New Roman" w:hAnsi="Times New Roman" w:cs="Times New Roman"/>
          <w:color w:val="222222"/>
          <w:sz w:val="24"/>
          <w:szCs w:val="24"/>
          <w:shd w:val="clear" w:color="auto" w:fill="FFFFFF"/>
        </w:rPr>
        <w:t xml:space="preserve">students’ learning outcomes: </w:t>
      </w:r>
      <w:r w:rsidR="00D31A52">
        <w:rPr>
          <w:rFonts w:ascii="Times New Roman" w:hAnsi="Times New Roman" w:cs="Times New Roman"/>
          <w:color w:val="222222"/>
          <w:sz w:val="24"/>
          <w:szCs w:val="24"/>
          <w:shd w:val="clear" w:color="auto" w:fill="FFFFFF"/>
        </w:rPr>
        <w:t>E</w:t>
      </w:r>
      <w:r w:rsidRPr="00BD382E">
        <w:rPr>
          <w:rFonts w:ascii="Times New Roman" w:hAnsi="Times New Roman" w:cs="Times New Roman"/>
          <w:color w:val="222222"/>
          <w:sz w:val="24"/>
          <w:szCs w:val="24"/>
          <w:shd w:val="clear" w:color="auto" w:fill="FFFFFF"/>
        </w:rPr>
        <w:t>vidence from Tanzania. </w:t>
      </w:r>
      <w:r w:rsidRPr="00BD382E">
        <w:rPr>
          <w:rFonts w:ascii="Times New Roman" w:hAnsi="Times New Roman" w:cs="Times New Roman"/>
          <w:i/>
          <w:iCs/>
          <w:color w:val="222222"/>
          <w:sz w:val="24"/>
          <w:szCs w:val="24"/>
          <w:shd w:val="clear" w:color="auto" w:fill="FFFFFF"/>
        </w:rPr>
        <w:t>Quality Assurance in Education</w:t>
      </w:r>
      <w:r w:rsidRPr="00BD382E">
        <w:rPr>
          <w:rFonts w:ascii="Times New Roman" w:hAnsi="Times New Roman" w:cs="Times New Roman"/>
          <w:color w:val="222222"/>
          <w:sz w:val="24"/>
          <w:szCs w:val="24"/>
          <w:shd w:val="clear" w:color="auto" w:fill="FFFFFF"/>
        </w:rPr>
        <w:t>, </w:t>
      </w:r>
      <w:r w:rsidRPr="00BD382E">
        <w:rPr>
          <w:rFonts w:ascii="Times New Roman" w:hAnsi="Times New Roman" w:cs="Times New Roman"/>
          <w:i/>
          <w:iCs/>
          <w:color w:val="222222"/>
          <w:sz w:val="24"/>
          <w:szCs w:val="24"/>
          <w:shd w:val="clear" w:color="auto" w:fill="FFFFFF"/>
        </w:rPr>
        <w:t>29</w:t>
      </w:r>
      <w:r w:rsidRPr="00BD382E">
        <w:rPr>
          <w:rFonts w:ascii="Times New Roman" w:hAnsi="Times New Roman" w:cs="Times New Roman"/>
          <w:color w:val="222222"/>
          <w:sz w:val="24"/>
          <w:szCs w:val="24"/>
          <w:shd w:val="clear" w:color="auto" w:fill="FFFFFF"/>
        </w:rPr>
        <w:t>(1), 15-28.</w:t>
      </w:r>
    </w:p>
    <w:p w14:paraId="4088787D" w14:textId="169C73F6" w:rsidR="00B567ED" w:rsidRDefault="00B567ED" w:rsidP="009D4093">
      <w:pPr>
        <w:snapToGrid w:val="0"/>
        <w:spacing w:before="120" w:after="120" w:line="240" w:lineRule="auto"/>
        <w:jc w:val="both"/>
        <w:rPr>
          <w:rFonts w:ascii="Times New Roman" w:hAnsi="Times New Roman" w:cs="Times New Roman"/>
          <w:sz w:val="24"/>
          <w:szCs w:val="24"/>
        </w:rPr>
      </w:pPr>
      <w:r w:rsidRPr="00C71B29">
        <w:rPr>
          <w:rFonts w:ascii="Times New Roman" w:hAnsi="Times New Roman" w:cs="Times New Roman"/>
          <w:sz w:val="24"/>
          <w:szCs w:val="24"/>
        </w:rPr>
        <w:t xml:space="preserve">Kristen, E. R. (2011). Analytical </w:t>
      </w:r>
      <w:r w:rsidR="00D31A52">
        <w:rPr>
          <w:rFonts w:ascii="Times New Roman" w:hAnsi="Times New Roman" w:cs="Times New Roman"/>
          <w:sz w:val="24"/>
          <w:szCs w:val="24"/>
        </w:rPr>
        <w:t>e</w:t>
      </w:r>
      <w:r w:rsidRPr="00C71B29">
        <w:rPr>
          <w:rFonts w:ascii="Times New Roman" w:hAnsi="Times New Roman" w:cs="Times New Roman"/>
          <w:sz w:val="24"/>
          <w:szCs w:val="24"/>
        </w:rPr>
        <w:t xml:space="preserve">valuation of the </w:t>
      </w:r>
      <w:r w:rsidR="00D31A52">
        <w:rPr>
          <w:rFonts w:ascii="Times New Roman" w:hAnsi="Times New Roman" w:cs="Times New Roman"/>
          <w:sz w:val="24"/>
          <w:szCs w:val="24"/>
        </w:rPr>
        <w:t>h</w:t>
      </w:r>
      <w:r w:rsidRPr="00C71B29">
        <w:rPr>
          <w:rFonts w:ascii="Times New Roman" w:hAnsi="Times New Roman" w:cs="Times New Roman"/>
          <w:sz w:val="24"/>
          <w:szCs w:val="24"/>
        </w:rPr>
        <w:t xml:space="preserve">ealth </w:t>
      </w:r>
      <w:r w:rsidR="00D31A52">
        <w:rPr>
          <w:rFonts w:ascii="Times New Roman" w:hAnsi="Times New Roman" w:cs="Times New Roman"/>
          <w:sz w:val="24"/>
          <w:szCs w:val="24"/>
        </w:rPr>
        <w:t>b</w:t>
      </w:r>
      <w:r w:rsidRPr="00C71B29">
        <w:rPr>
          <w:rFonts w:ascii="Times New Roman" w:hAnsi="Times New Roman" w:cs="Times New Roman"/>
          <w:sz w:val="24"/>
          <w:szCs w:val="24"/>
        </w:rPr>
        <w:t xml:space="preserve">elief </w:t>
      </w:r>
      <w:r w:rsidR="00D31A52">
        <w:rPr>
          <w:rFonts w:ascii="Times New Roman" w:hAnsi="Times New Roman" w:cs="Times New Roman"/>
          <w:sz w:val="24"/>
          <w:szCs w:val="24"/>
        </w:rPr>
        <w:t>m</w:t>
      </w:r>
      <w:r w:rsidRPr="00C71B29">
        <w:rPr>
          <w:rFonts w:ascii="Times New Roman" w:hAnsi="Times New Roman" w:cs="Times New Roman"/>
          <w:sz w:val="24"/>
          <w:szCs w:val="24"/>
        </w:rPr>
        <w:t xml:space="preserve">odel and the </w:t>
      </w:r>
      <w:r w:rsidR="00D31A52">
        <w:rPr>
          <w:rFonts w:ascii="Times New Roman" w:hAnsi="Times New Roman" w:cs="Times New Roman"/>
          <w:sz w:val="24"/>
          <w:szCs w:val="24"/>
        </w:rPr>
        <w:t>v</w:t>
      </w:r>
      <w:r w:rsidRPr="00C71B29">
        <w:rPr>
          <w:rFonts w:ascii="Times New Roman" w:hAnsi="Times New Roman" w:cs="Times New Roman"/>
          <w:sz w:val="24"/>
          <w:szCs w:val="24"/>
        </w:rPr>
        <w:t xml:space="preserve">ulnerable </w:t>
      </w:r>
    </w:p>
    <w:p w14:paraId="4598D3E2" w14:textId="3B882619" w:rsidR="00B567ED" w:rsidRPr="00B567ED" w:rsidRDefault="00D31A52" w:rsidP="009D4093">
      <w:pPr>
        <w:snapToGrid w:val="0"/>
        <w:spacing w:before="120" w:after="120" w:line="240" w:lineRule="auto"/>
        <w:ind w:left="720"/>
        <w:jc w:val="both"/>
        <w:rPr>
          <w:rFonts w:ascii="Times New Roman" w:hAnsi="Times New Roman" w:cs="Times New Roman"/>
          <w:sz w:val="28"/>
          <w:szCs w:val="28"/>
        </w:rPr>
      </w:pPr>
      <w:r>
        <w:rPr>
          <w:rFonts w:ascii="Times New Roman" w:hAnsi="Times New Roman" w:cs="Times New Roman"/>
          <w:sz w:val="24"/>
          <w:szCs w:val="24"/>
        </w:rPr>
        <w:t>p</w:t>
      </w:r>
      <w:r w:rsidR="00B567ED" w:rsidRPr="00C71B29">
        <w:rPr>
          <w:rFonts w:ascii="Times New Roman" w:hAnsi="Times New Roman" w:cs="Times New Roman"/>
          <w:sz w:val="24"/>
          <w:szCs w:val="24"/>
        </w:rPr>
        <w:t xml:space="preserve">opulations </w:t>
      </w:r>
      <w:r>
        <w:rPr>
          <w:rFonts w:ascii="Times New Roman" w:hAnsi="Times New Roman" w:cs="Times New Roman"/>
          <w:sz w:val="24"/>
          <w:szCs w:val="24"/>
        </w:rPr>
        <w:t>c</w:t>
      </w:r>
      <w:r w:rsidR="00B567ED" w:rsidRPr="00C71B29">
        <w:rPr>
          <w:rFonts w:ascii="Times New Roman" w:hAnsi="Times New Roman" w:cs="Times New Roman"/>
          <w:sz w:val="24"/>
          <w:szCs w:val="24"/>
        </w:rPr>
        <w:t xml:space="preserve">onceptual </w:t>
      </w:r>
      <w:r>
        <w:rPr>
          <w:rFonts w:ascii="Times New Roman" w:hAnsi="Times New Roman" w:cs="Times New Roman"/>
          <w:sz w:val="24"/>
          <w:szCs w:val="24"/>
        </w:rPr>
        <w:t>m</w:t>
      </w:r>
      <w:r w:rsidR="00B567ED" w:rsidRPr="00C71B29">
        <w:rPr>
          <w:rFonts w:ascii="Times New Roman" w:hAnsi="Times New Roman" w:cs="Times New Roman"/>
          <w:sz w:val="24"/>
          <w:szCs w:val="24"/>
        </w:rPr>
        <w:t xml:space="preserve">odel </w:t>
      </w:r>
      <w:r>
        <w:rPr>
          <w:rFonts w:ascii="Times New Roman" w:hAnsi="Times New Roman" w:cs="Times New Roman"/>
          <w:sz w:val="24"/>
          <w:szCs w:val="24"/>
        </w:rPr>
        <w:t>a</w:t>
      </w:r>
      <w:r w:rsidR="00B567ED" w:rsidRPr="00C71B29">
        <w:rPr>
          <w:rFonts w:ascii="Times New Roman" w:hAnsi="Times New Roman" w:cs="Times New Roman"/>
          <w:sz w:val="24"/>
          <w:szCs w:val="24"/>
        </w:rPr>
        <w:t xml:space="preserve">pplied to a </w:t>
      </w:r>
      <w:r>
        <w:rPr>
          <w:rFonts w:ascii="Times New Roman" w:hAnsi="Times New Roman" w:cs="Times New Roman"/>
          <w:sz w:val="24"/>
          <w:szCs w:val="24"/>
        </w:rPr>
        <w:t>m</w:t>
      </w:r>
      <w:r w:rsidR="00B567ED" w:rsidRPr="00C71B29">
        <w:rPr>
          <w:rFonts w:ascii="Times New Roman" w:hAnsi="Times New Roman" w:cs="Times New Roman"/>
          <w:sz w:val="24"/>
          <w:szCs w:val="24"/>
        </w:rPr>
        <w:t xml:space="preserve">edically </w:t>
      </w:r>
      <w:r>
        <w:rPr>
          <w:rFonts w:ascii="Times New Roman" w:hAnsi="Times New Roman" w:cs="Times New Roman"/>
          <w:sz w:val="24"/>
          <w:szCs w:val="24"/>
        </w:rPr>
        <w:t>u</w:t>
      </w:r>
      <w:r w:rsidR="00B567ED" w:rsidRPr="00C71B29">
        <w:rPr>
          <w:rFonts w:ascii="Times New Roman" w:hAnsi="Times New Roman" w:cs="Times New Roman"/>
          <w:sz w:val="24"/>
          <w:szCs w:val="24"/>
        </w:rPr>
        <w:t xml:space="preserve">nderserved, </w:t>
      </w:r>
      <w:r>
        <w:rPr>
          <w:rFonts w:ascii="Times New Roman" w:hAnsi="Times New Roman" w:cs="Times New Roman"/>
          <w:sz w:val="24"/>
          <w:szCs w:val="24"/>
        </w:rPr>
        <w:t>r</w:t>
      </w:r>
      <w:r w:rsidR="00B567ED" w:rsidRPr="00C71B29">
        <w:rPr>
          <w:rFonts w:ascii="Times New Roman" w:hAnsi="Times New Roman" w:cs="Times New Roman"/>
          <w:sz w:val="24"/>
          <w:szCs w:val="24"/>
        </w:rPr>
        <w:t xml:space="preserve">ural </w:t>
      </w:r>
      <w:r>
        <w:rPr>
          <w:rFonts w:ascii="Times New Roman" w:hAnsi="Times New Roman" w:cs="Times New Roman"/>
          <w:sz w:val="24"/>
          <w:szCs w:val="24"/>
        </w:rPr>
        <w:t>p</w:t>
      </w:r>
      <w:r w:rsidR="00B567ED" w:rsidRPr="00C71B29">
        <w:rPr>
          <w:rFonts w:ascii="Times New Roman" w:hAnsi="Times New Roman" w:cs="Times New Roman"/>
          <w:sz w:val="24"/>
          <w:szCs w:val="24"/>
        </w:rPr>
        <w:t xml:space="preserve">opulation. </w:t>
      </w:r>
      <w:r w:rsidR="00B567ED" w:rsidRPr="00C71B29">
        <w:rPr>
          <w:rFonts w:ascii="Times New Roman" w:hAnsi="Times New Roman" w:cs="Times New Roman"/>
          <w:i/>
          <w:iCs/>
          <w:sz w:val="24"/>
          <w:szCs w:val="24"/>
        </w:rPr>
        <w:t>International Journal of Applied Science and Technology, 1</w:t>
      </w:r>
      <w:r w:rsidR="00B567ED" w:rsidRPr="00C71B29">
        <w:rPr>
          <w:rFonts w:ascii="Times New Roman" w:hAnsi="Times New Roman" w:cs="Times New Roman"/>
          <w:sz w:val="24"/>
          <w:szCs w:val="24"/>
        </w:rPr>
        <w:t>(2), 15-21.</w:t>
      </w:r>
      <w:r w:rsidR="00B567ED">
        <w:rPr>
          <w:rFonts w:ascii="Times New Roman" w:hAnsi="Times New Roman" w:cs="Times New Roman"/>
          <w:sz w:val="24"/>
          <w:szCs w:val="24"/>
        </w:rPr>
        <w:t xml:space="preserve"> </w:t>
      </w:r>
    </w:p>
    <w:p w14:paraId="393A5999" w14:textId="1C3C6417" w:rsidR="005046A0" w:rsidRDefault="005046A0" w:rsidP="009D4093">
      <w:pPr>
        <w:pStyle w:val="Default"/>
        <w:snapToGrid w:val="0"/>
        <w:spacing w:before="120" w:after="120"/>
        <w:jc w:val="both"/>
        <w:rPr>
          <w:color w:val="222222"/>
          <w:shd w:val="clear" w:color="auto" w:fill="FFFFFF"/>
        </w:rPr>
      </w:pPr>
      <w:proofErr w:type="spellStart"/>
      <w:r w:rsidRPr="005046A0">
        <w:rPr>
          <w:color w:val="222222"/>
          <w:shd w:val="clear" w:color="auto" w:fill="FFFFFF"/>
        </w:rPr>
        <w:t>Leedy</w:t>
      </w:r>
      <w:proofErr w:type="spellEnd"/>
      <w:r w:rsidRPr="005046A0">
        <w:rPr>
          <w:color w:val="222222"/>
          <w:shd w:val="clear" w:color="auto" w:fill="FFFFFF"/>
        </w:rPr>
        <w:t>, P. D., &amp; Ormrod, J. E. (2005). </w:t>
      </w:r>
      <w:r w:rsidRPr="005046A0">
        <w:rPr>
          <w:i/>
          <w:iCs/>
          <w:color w:val="222222"/>
          <w:shd w:val="clear" w:color="auto" w:fill="FFFFFF"/>
        </w:rPr>
        <w:t>Practical research</w:t>
      </w:r>
      <w:r w:rsidRPr="005046A0">
        <w:rPr>
          <w:color w:val="222222"/>
          <w:shd w:val="clear" w:color="auto" w:fill="FFFFFF"/>
        </w:rPr>
        <w:t> (Vol. 108).</w:t>
      </w:r>
      <w:r w:rsidR="00544A42">
        <w:rPr>
          <w:color w:val="222222"/>
          <w:shd w:val="clear" w:color="auto" w:fill="FFFFFF"/>
        </w:rPr>
        <w:t xml:space="preserve"> Pearson</w:t>
      </w:r>
      <w:r w:rsidRPr="005046A0">
        <w:rPr>
          <w:color w:val="222222"/>
          <w:shd w:val="clear" w:color="auto" w:fill="FFFFFF"/>
        </w:rPr>
        <w:t xml:space="preserve"> </w:t>
      </w:r>
    </w:p>
    <w:p w14:paraId="6AF723CA" w14:textId="77777777" w:rsidR="00A83227" w:rsidRDefault="00A83227" w:rsidP="009D4093">
      <w:pPr>
        <w:snapToGrid w:val="0"/>
        <w:spacing w:before="120" w:after="120" w:line="240" w:lineRule="auto"/>
        <w:rPr>
          <w:rFonts w:ascii="Times New Roman" w:hAnsi="Times New Roman" w:cs="Times New Roman"/>
          <w:color w:val="222222"/>
          <w:sz w:val="24"/>
          <w:szCs w:val="24"/>
          <w:shd w:val="clear" w:color="auto" w:fill="FFFFFF"/>
        </w:rPr>
      </w:pPr>
      <w:r w:rsidRPr="001F4CF2">
        <w:rPr>
          <w:rFonts w:ascii="Times New Roman" w:hAnsi="Times New Roman" w:cs="Times New Roman"/>
          <w:color w:val="222222"/>
          <w:sz w:val="24"/>
          <w:szCs w:val="24"/>
          <w:shd w:val="clear" w:color="auto" w:fill="FFFFFF"/>
        </w:rPr>
        <w:t xml:space="preserve">Lin, M. H., Chen, H. C., &amp; Liu, K. S. (2017). A study of the effects of digital learning on </w:t>
      </w:r>
    </w:p>
    <w:p w14:paraId="41C0AA5F" w14:textId="45508215" w:rsidR="00A83227" w:rsidRDefault="00A83227" w:rsidP="009D4093">
      <w:pPr>
        <w:snapToGrid w:val="0"/>
        <w:spacing w:after="120" w:line="240" w:lineRule="auto"/>
        <w:ind w:left="720"/>
        <w:rPr>
          <w:rFonts w:ascii="Times New Roman" w:hAnsi="Times New Roman" w:cs="Times New Roman"/>
          <w:color w:val="222222"/>
          <w:sz w:val="24"/>
          <w:szCs w:val="24"/>
          <w:shd w:val="clear" w:color="auto" w:fill="FFFFFF"/>
        </w:rPr>
      </w:pPr>
      <w:r w:rsidRPr="001F4CF2">
        <w:rPr>
          <w:rFonts w:ascii="Times New Roman" w:hAnsi="Times New Roman" w:cs="Times New Roman"/>
          <w:color w:val="222222"/>
          <w:sz w:val="24"/>
          <w:szCs w:val="24"/>
          <w:shd w:val="clear" w:color="auto" w:fill="FFFFFF"/>
        </w:rPr>
        <w:t>learning motivation and learning outcome. </w:t>
      </w:r>
      <w:r w:rsidRPr="001F4CF2">
        <w:rPr>
          <w:rFonts w:ascii="Times New Roman" w:hAnsi="Times New Roman" w:cs="Times New Roman"/>
          <w:i/>
          <w:iCs/>
          <w:color w:val="222222"/>
          <w:sz w:val="24"/>
          <w:szCs w:val="24"/>
          <w:shd w:val="clear" w:color="auto" w:fill="FFFFFF"/>
        </w:rPr>
        <w:t>Eurasia Journal of Mathematics, Science and Technology Education</w:t>
      </w:r>
      <w:r w:rsidRPr="001F4CF2">
        <w:rPr>
          <w:rFonts w:ascii="Times New Roman" w:hAnsi="Times New Roman" w:cs="Times New Roman"/>
          <w:color w:val="222222"/>
          <w:sz w:val="24"/>
          <w:szCs w:val="24"/>
          <w:shd w:val="clear" w:color="auto" w:fill="FFFFFF"/>
        </w:rPr>
        <w:t>, </w:t>
      </w:r>
      <w:r w:rsidRPr="001F4CF2">
        <w:rPr>
          <w:rFonts w:ascii="Times New Roman" w:hAnsi="Times New Roman" w:cs="Times New Roman"/>
          <w:i/>
          <w:iCs/>
          <w:color w:val="222222"/>
          <w:sz w:val="24"/>
          <w:szCs w:val="24"/>
          <w:shd w:val="clear" w:color="auto" w:fill="FFFFFF"/>
        </w:rPr>
        <w:t>13</w:t>
      </w:r>
      <w:r w:rsidRPr="001F4CF2">
        <w:rPr>
          <w:rFonts w:ascii="Times New Roman" w:hAnsi="Times New Roman" w:cs="Times New Roman"/>
          <w:color w:val="222222"/>
          <w:sz w:val="24"/>
          <w:szCs w:val="24"/>
          <w:shd w:val="clear" w:color="auto" w:fill="FFFFFF"/>
        </w:rPr>
        <w:t>(7), 3553-3564</w:t>
      </w:r>
    </w:p>
    <w:p w14:paraId="06B1C4B7" w14:textId="77777777" w:rsidR="00830771" w:rsidRDefault="00830771"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830771">
        <w:rPr>
          <w:rFonts w:ascii="Times New Roman" w:hAnsi="Times New Roman" w:cs="Times New Roman"/>
          <w:color w:val="222222"/>
          <w:sz w:val="24"/>
          <w:szCs w:val="24"/>
          <w:shd w:val="clear" w:color="auto" w:fill="FFFFFF"/>
        </w:rPr>
        <w:t xml:space="preserve">Lynagh, M., Schofield, M. J., &amp; </w:t>
      </w:r>
      <w:proofErr w:type="spellStart"/>
      <w:r w:rsidRPr="00830771">
        <w:rPr>
          <w:rFonts w:ascii="Times New Roman" w:hAnsi="Times New Roman" w:cs="Times New Roman"/>
          <w:color w:val="222222"/>
          <w:sz w:val="24"/>
          <w:szCs w:val="24"/>
          <w:shd w:val="clear" w:color="auto" w:fill="FFFFFF"/>
        </w:rPr>
        <w:t>Sanson</w:t>
      </w:r>
      <w:proofErr w:type="spellEnd"/>
      <w:r w:rsidRPr="00830771">
        <w:rPr>
          <w:rFonts w:ascii="Times New Roman" w:hAnsi="Times New Roman" w:cs="Times New Roman"/>
          <w:color w:val="222222"/>
          <w:sz w:val="24"/>
          <w:szCs w:val="24"/>
          <w:shd w:val="clear" w:color="auto" w:fill="FFFFFF"/>
        </w:rPr>
        <w:t xml:space="preserve">-Fisher, R. W. (1997). School health promotion </w:t>
      </w:r>
    </w:p>
    <w:p w14:paraId="0B8ABD7C" w14:textId="2610C084" w:rsidR="00830771" w:rsidRPr="00830771" w:rsidRDefault="00830771" w:rsidP="009D4093">
      <w:pPr>
        <w:snapToGrid w:val="0"/>
        <w:spacing w:before="120" w:after="120" w:line="240" w:lineRule="auto"/>
        <w:ind w:left="720"/>
        <w:jc w:val="both"/>
        <w:rPr>
          <w:rFonts w:ascii="Times New Roman" w:hAnsi="Times New Roman" w:cs="Times New Roman"/>
          <w:sz w:val="48"/>
          <w:szCs w:val="48"/>
        </w:rPr>
      </w:pPr>
      <w:r w:rsidRPr="00830771">
        <w:rPr>
          <w:rFonts w:ascii="Times New Roman" w:hAnsi="Times New Roman" w:cs="Times New Roman"/>
          <w:color w:val="222222"/>
          <w:sz w:val="24"/>
          <w:szCs w:val="24"/>
          <w:shd w:val="clear" w:color="auto" w:fill="FFFFFF"/>
        </w:rPr>
        <w:lastRenderedPageBreak/>
        <w:t xml:space="preserve">programs over the past decade: </w:t>
      </w:r>
      <w:r w:rsidR="00E16270">
        <w:rPr>
          <w:rFonts w:ascii="Times New Roman" w:hAnsi="Times New Roman" w:cs="Times New Roman"/>
          <w:color w:val="222222"/>
          <w:sz w:val="24"/>
          <w:szCs w:val="24"/>
          <w:shd w:val="clear" w:color="auto" w:fill="FFFFFF"/>
        </w:rPr>
        <w:t>A</w:t>
      </w:r>
      <w:r w:rsidRPr="00830771">
        <w:rPr>
          <w:rFonts w:ascii="Times New Roman" w:hAnsi="Times New Roman" w:cs="Times New Roman"/>
          <w:color w:val="222222"/>
          <w:sz w:val="24"/>
          <w:szCs w:val="24"/>
          <w:shd w:val="clear" w:color="auto" w:fill="FFFFFF"/>
        </w:rPr>
        <w:t xml:space="preserve"> review of the smoking, alcohol and solar protection literature. </w:t>
      </w:r>
      <w:r w:rsidRPr="00830771">
        <w:rPr>
          <w:rFonts w:ascii="Times New Roman" w:hAnsi="Times New Roman" w:cs="Times New Roman"/>
          <w:i/>
          <w:iCs/>
          <w:color w:val="222222"/>
          <w:sz w:val="24"/>
          <w:szCs w:val="24"/>
          <w:shd w:val="clear" w:color="auto" w:fill="FFFFFF"/>
        </w:rPr>
        <w:t>Health Promotion International</w:t>
      </w:r>
      <w:r w:rsidRPr="00830771">
        <w:rPr>
          <w:rFonts w:ascii="Times New Roman" w:hAnsi="Times New Roman" w:cs="Times New Roman"/>
          <w:color w:val="222222"/>
          <w:sz w:val="24"/>
          <w:szCs w:val="24"/>
          <w:shd w:val="clear" w:color="auto" w:fill="FFFFFF"/>
        </w:rPr>
        <w:t>, </w:t>
      </w:r>
      <w:r w:rsidRPr="00830771">
        <w:rPr>
          <w:rFonts w:ascii="Times New Roman" w:hAnsi="Times New Roman" w:cs="Times New Roman"/>
          <w:i/>
          <w:iCs/>
          <w:color w:val="222222"/>
          <w:sz w:val="24"/>
          <w:szCs w:val="24"/>
          <w:shd w:val="clear" w:color="auto" w:fill="FFFFFF"/>
        </w:rPr>
        <w:t>12</w:t>
      </w:r>
      <w:r w:rsidRPr="00830771">
        <w:rPr>
          <w:rFonts w:ascii="Times New Roman" w:hAnsi="Times New Roman" w:cs="Times New Roman"/>
          <w:color w:val="222222"/>
          <w:sz w:val="24"/>
          <w:szCs w:val="24"/>
          <w:shd w:val="clear" w:color="auto" w:fill="FFFFFF"/>
        </w:rPr>
        <w:t xml:space="preserve">(1), 43-60. </w:t>
      </w:r>
    </w:p>
    <w:p w14:paraId="5CFDAEC1" w14:textId="77777777" w:rsidR="00E05F8D" w:rsidRDefault="00E05F8D"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567E93">
        <w:rPr>
          <w:rFonts w:ascii="Times New Roman" w:hAnsi="Times New Roman" w:cs="Times New Roman"/>
          <w:color w:val="222222"/>
          <w:sz w:val="24"/>
          <w:szCs w:val="24"/>
          <w:shd w:val="clear" w:color="auto" w:fill="FFFFFF"/>
        </w:rPr>
        <w:t xml:space="preserve">Mandell, M. J., Eliseeva, E. A., Davies, M. M., Spears, M., </w:t>
      </w:r>
      <w:proofErr w:type="spellStart"/>
      <w:r w:rsidRPr="00567E93">
        <w:rPr>
          <w:rFonts w:ascii="Times New Roman" w:hAnsi="Times New Roman" w:cs="Times New Roman"/>
          <w:color w:val="222222"/>
          <w:sz w:val="24"/>
          <w:szCs w:val="24"/>
          <w:shd w:val="clear" w:color="auto" w:fill="FFFFFF"/>
        </w:rPr>
        <w:t>Lobscheid</w:t>
      </w:r>
      <w:proofErr w:type="spellEnd"/>
      <w:r w:rsidRPr="00567E93">
        <w:rPr>
          <w:rFonts w:ascii="Times New Roman" w:hAnsi="Times New Roman" w:cs="Times New Roman"/>
          <w:color w:val="222222"/>
          <w:sz w:val="24"/>
          <w:szCs w:val="24"/>
          <w:shd w:val="clear" w:color="auto" w:fill="FFFFFF"/>
        </w:rPr>
        <w:t xml:space="preserve">, A., Fisk, W. J., &amp; </w:t>
      </w:r>
      <w:proofErr w:type="spellStart"/>
      <w:r w:rsidRPr="00567E93">
        <w:rPr>
          <w:rFonts w:ascii="Times New Roman" w:hAnsi="Times New Roman" w:cs="Times New Roman"/>
          <w:color w:val="222222"/>
          <w:sz w:val="24"/>
          <w:szCs w:val="24"/>
          <w:shd w:val="clear" w:color="auto" w:fill="FFFFFF"/>
        </w:rPr>
        <w:t>Apte</w:t>
      </w:r>
      <w:proofErr w:type="spellEnd"/>
      <w:r w:rsidRPr="00567E93">
        <w:rPr>
          <w:rFonts w:ascii="Times New Roman" w:hAnsi="Times New Roman" w:cs="Times New Roman"/>
          <w:color w:val="222222"/>
          <w:sz w:val="24"/>
          <w:szCs w:val="24"/>
          <w:shd w:val="clear" w:color="auto" w:fill="FFFFFF"/>
        </w:rPr>
        <w:t xml:space="preserve">, </w:t>
      </w:r>
    </w:p>
    <w:p w14:paraId="159CE500" w14:textId="4C3B82A6" w:rsidR="00E05F8D" w:rsidRDefault="00E05F8D"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567E93">
        <w:rPr>
          <w:rFonts w:ascii="Times New Roman" w:hAnsi="Times New Roman" w:cs="Times New Roman"/>
          <w:color w:val="222222"/>
          <w:sz w:val="24"/>
          <w:szCs w:val="24"/>
          <w:shd w:val="clear" w:color="auto" w:fill="FFFFFF"/>
        </w:rPr>
        <w:t>M. G. (2013). Association of classroom ventilation with reduced illness absence: A prospective study in California elementary schools. </w:t>
      </w:r>
      <w:r w:rsidRPr="00567E93">
        <w:rPr>
          <w:rFonts w:ascii="Times New Roman" w:hAnsi="Times New Roman" w:cs="Times New Roman"/>
          <w:i/>
          <w:iCs/>
          <w:color w:val="222222"/>
          <w:sz w:val="24"/>
          <w:szCs w:val="24"/>
          <w:shd w:val="clear" w:color="auto" w:fill="FFFFFF"/>
        </w:rPr>
        <w:t xml:space="preserve">Indoor </w:t>
      </w:r>
      <w:r w:rsidR="006B3087">
        <w:rPr>
          <w:rFonts w:ascii="Times New Roman" w:hAnsi="Times New Roman" w:cs="Times New Roman"/>
          <w:i/>
          <w:iCs/>
          <w:color w:val="222222"/>
          <w:sz w:val="24"/>
          <w:szCs w:val="24"/>
          <w:shd w:val="clear" w:color="auto" w:fill="FFFFFF"/>
        </w:rPr>
        <w:t>A</w:t>
      </w:r>
      <w:r w:rsidRPr="00567E93">
        <w:rPr>
          <w:rFonts w:ascii="Times New Roman" w:hAnsi="Times New Roman" w:cs="Times New Roman"/>
          <w:i/>
          <w:iCs/>
          <w:color w:val="222222"/>
          <w:sz w:val="24"/>
          <w:szCs w:val="24"/>
          <w:shd w:val="clear" w:color="auto" w:fill="FFFFFF"/>
        </w:rPr>
        <w:t>ir</w:t>
      </w:r>
      <w:r w:rsidRPr="00567E93">
        <w:rPr>
          <w:rFonts w:ascii="Times New Roman" w:hAnsi="Times New Roman" w:cs="Times New Roman"/>
          <w:color w:val="222222"/>
          <w:sz w:val="24"/>
          <w:szCs w:val="24"/>
          <w:shd w:val="clear" w:color="auto" w:fill="FFFFFF"/>
        </w:rPr>
        <w:t>, </w:t>
      </w:r>
      <w:r w:rsidRPr="00567E93">
        <w:rPr>
          <w:rFonts w:ascii="Times New Roman" w:hAnsi="Times New Roman" w:cs="Times New Roman"/>
          <w:i/>
          <w:iCs/>
          <w:color w:val="222222"/>
          <w:sz w:val="24"/>
          <w:szCs w:val="24"/>
          <w:shd w:val="clear" w:color="auto" w:fill="FFFFFF"/>
        </w:rPr>
        <w:t>23</w:t>
      </w:r>
      <w:r w:rsidRPr="00567E93">
        <w:rPr>
          <w:rFonts w:ascii="Times New Roman" w:hAnsi="Times New Roman" w:cs="Times New Roman"/>
          <w:color w:val="222222"/>
          <w:sz w:val="24"/>
          <w:szCs w:val="24"/>
          <w:shd w:val="clear" w:color="auto" w:fill="FFFFFF"/>
        </w:rPr>
        <w:t>(6), 515-528</w:t>
      </w:r>
    </w:p>
    <w:p w14:paraId="54B45D1A" w14:textId="00B6ED26" w:rsidR="00CC3111" w:rsidRDefault="00CC3111" w:rsidP="009D4093">
      <w:pPr>
        <w:snapToGrid w:val="0"/>
        <w:spacing w:after="120" w:line="240" w:lineRule="auto"/>
        <w:jc w:val="both"/>
        <w:rPr>
          <w:rFonts w:ascii="Times New Roman" w:hAnsi="Times New Roman" w:cs="Times New Roman"/>
          <w:color w:val="222222"/>
          <w:sz w:val="24"/>
          <w:szCs w:val="24"/>
          <w:shd w:val="clear" w:color="auto" w:fill="FFFFFF"/>
        </w:rPr>
      </w:pPr>
      <w:r w:rsidRPr="00CC3111">
        <w:rPr>
          <w:rFonts w:ascii="Times New Roman" w:hAnsi="Times New Roman" w:cs="Times New Roman"/>
          <w:color w:val="222222"/>
          <w:sz w:val="24"/>
          <w:szCs w:val="24"/>
          <w:shd w:val="clear" w:color="auto" w:fill="FFFFFF"/>
        </w:rPr>
        <w:t xml:space="preserve">Mays, A. (2020). Advancing student health and achievement through Medicaid: </w:t>
      </w:r>
      <w:r w:rsidR="007D097A">
        <w:rPr>
          <w:rFonts w:ascii="Times New Roman" w:hAnsi="Times New Roman" w:cs="Times New Roman"/>
          <w:color w:val="222222"/>
          <w:sz w:val="24"/>
          <w:szCs w:val="24"/>
          <w:shd w:val="clear" w:color="auto" w:fill="FFFFFF"/>
        </w:rPr>
        <w:t>L</w:t>
      </w:r>
      <w:r w:rsidRPr="00CC3111">
        <w:rPr>
          <w:rFonts w:ascii="Times New Roman" w:hAnsi="Times New Roman" w:cs="Times New Roman"/>
          <w:color w:val="222222"/>
          <w:sz w:val="24"/>
          <w:szCs w:val="24"/>
          <w:shd w:val="clear" w:color="auto" w:fill="FFFFFF"/>
        </w:rPr>
        <w:t xml:space="preserve">essons </w:t>
      </w:r>
    </w:p>
    <w:p w14:paraId="30258711" w14:textId="50F7FD11" w:rsidR="00CC3111" w:rsidRPr="00E05F8D" w:rsidRDefault="00CC3111" w:rsidP="009D4093">
      <w:pPr>
        <w:snapToGrid w:val="0"/>
        <w:spacing w:after="120" w:line="240" w:lineRule="auto"/>
        <w:ind w:left="720"/>
        <w:jc w:val="both"/>
        <w:rPr>
          <w:rFonts w:ascii="Times New Roman" w:hAnsi="Times New Roman" w:cs="Times New Roman"/>
          <w:color w:val="222222"/>
          <w:sz w:val="24"/>
          <w:szCs w:val="24"/>
          <w:shd w:val="clear" w:color="auto" w:fill="FFFFFF"/>
        </w:rPr>
      </w:pPr>
      <w:r w:rsidRPr="00CC3111">
        <w:rPr>
          <w:rFonts w:ascii="Times New Roman" w:hAnsi="Times New Roman" w:cs="Times New Roman"/>
          <w:color w:val="222222"/>
          <w:sz w:val="24"/>
          <w:szCs w:val="24"/>
          <w:shd w:val="clear" w:color="auto" w:fill="FFFFFF"/>
        </w:rPr>
        <w:t>learned from state efforts to expand Medicaid‐funded school health services. </w:t>
      </w:r>
      <w:r w:rsidRPr="00CC3111">
        <w:rPr>
          <w:rFonts w:ascii="Times New Roman" w:hAnsi="Times New Roman" w:cs="Times New Roman"/>
          <w:i/>
          <w:iCs/>
          <w:color w:val="222222"/>
          <w:sz w:val="24"/>
          <w:szCs w:val="24"/>
          <w:shd w:val="clear" w:color="auto" w:fill="FFFFFF"/>
        </w:rPr>
        <w:t>Journal of School Health</w:t>
      </w:r>
      <w:r w:rsidRPr="00CC3111">
        <w:rPr>
          <w:rFonts w:ascii="Times New Roman" w:hAnsi="Times New Roman" w:cs="Times New Roman"/>
          <w:color w:val="222222"/>
          <w:sz w:val="24"/>
          <w:szCs w:val="24"/>
          <w:shd w:val="clear" w:color="auto" w:fill="FFFFFF"/>
        </w:rPr>
        <w:t>, </w:t>
      </w:r>
      <w:r w:rsidRPr="00CC3111">
        <w:rPr>
          <w:rFonts w:ascii="Times New Roman" w:hAnsi="Times New Roman" w:cs="Times New Roman"/>
          <w:i/>
          <w:iCs/>
          <w:color w:val="222222"/>
          <w:sz w:val="24"/>
          <w:szCs w:val="24"/>
          <w:shd w:val="clear" w:color="auto" w:fill="FFFFFF"/>
        </w:rPr>
        <w:t>90</w:t>
      </w:r>
      <w:r w:rsidRPr="00CC3111">
        <w:rPr>
          <w:rFonts w:ascii="Times New Roman" w:hAnsi="Times New Roman" w:cs="Times New Roman"/>
          <w:color w:val="222222"/>
          <w:sz w:val="24"/>
          <w:szCs w:val="24"/>
          <w:shd w:val="clear" w:color="auto" w:fill="FFFFFF"/>
        </w:rPr>
        <w:t>(12), 918-922.</w:t>
      </w:r>
    </w:p>
    <w:p w14:paraId="6D556B11" w14:textId="1EF1A85C" w:rsidR="00E064F7" w:rsidRDefault="00E064F7" w:rsidP="009D4093">
      <w:pPr>
        <w:pStyle w:val="FootnoteText"/>
        <w:snapToGrid w:val="0"/>
        <w:spacing w:before="120" w:after="120"/>
        <w:jc w:val="both"/>
        <w:rPr>
          <w:rFonts w:ascii="Times New Roman" w:hAnsi="Times New Roman" w:cs="Times New Roman"/>
          <w:color w:val="222222"/>
          <w:sz w:val="24"/>
          <w:szCs w:val="24"/>
          <w:shd w:val="clear" w:color="auto" w:fill="FFFFFF"/>
        </w:rPr>
      </w:pPr>
      <w:proofErr w:type="spellStart"/>
      <w:r w:rsidRPr="009B716D">
        <w:rPr>
          <w:rFonts w:ascii="Times New Roman" w:hAnsi="Times New Roman" w:cs="Times New Roman"/>
          <w:color w:val="222222"/>
          <w:sz w:val="24"/>
          <w:szCs w:val="24"/>
          <w:shd w:val="clear" w:color="auto" w:fill="FFFFFF"/>
        </w:rPr>
        <w:t>Meroni</w:t>
      </w:r>
      <w:proofErr w:type="spellEnd"/>
      <w:r w:rsidRPr="009B716D">
        <w:rPr>
          <w:rFonts w:ascii="Times New Roman" w:hAnsi="Times New Roman" w:cs="Times New Roman"/>
          <w:color w:val="222222"/>
          <w:sz w:val="24"/>
          <w:szCs w:val="24"/>
          <w:shd w:val="clear" w:color="auto" w:fill="FFFFFF"/>
        </w:rPr>
        <w:t>, C., &amp; Velasco, V. (2023). School-</w:t>
      </w:r>
      <w:r w:rsidR="007D097A">
        <w:rPr>
          <w:rFonts w:ascii="Times New Roman" w:hAnsi="Times New Roman" w:cs="Times New Roman"/>
          <w:color w:val="222222"/>
          <w:sz w:val="24"/>
          <w:szCs w:val="24"/>
          <w:shd w:val="clear" w:color="auto" w:fill="FFFFFF"/>
        </w:rPr>
        <w:t>b</w:t>
      </w:r>
      <w:r w:rsidRPr="009B716D">
        <w:rPr>
          <w:rFonts w:ascii="Times New Roman" w:hAnsi="Times New Roman" w:cs="Times New Roman"/>
          <w:color w:val="222222"/>
          <w:sz w:val="24"/>
          <w:szCs w:val="24"/>
          <w:shd w:val="clear" w:color="auto" w:fill="FFFFFF"/>
        </w:rPr>
        <w:t xml:space="preserve">ased Interventions for </w:t>
      </w:r>
      <w:r w:rsidR="007D097A">
        <w:rPr>
          <w:rFonts w:ascii="Times New Roman" w:hAnsi="Times New Roman" w:cs="Times New Roman"/>
          <w:color w:val="222222"/>
          <w:sz w:val="24"/>
          <w:szCs w:val="24"/>
          <w:shd w:val="clear" w:color="auto" w:fill="FFFFFF"/>
        </w:rPr>
        <w:t>m</w:t>
      </w:r>
      <w:r w:rsidRPr="009B716D">
        <w:rPr>
          <w:rFonts w:ascii="Times New Roman" w:hAnsi="Times New Roman" w:cs="Times New Roman"/>
          <w:color w:val="222222"/>
          <w:sz w:val="24"/>
          <w:szCs w:val="24"/>
          <w:shd w:val="clear" w:color="auto" w:fill="FFFFFF"/>
        </w:rPr>
        <w:t xml:space="preserve">igrant </w:t>
      </w:r>
      <w:r w:rsidR="007D097A">
        <w:rPr>
          <w:rFonts w:ascii="Times New Roman" w:hAnsi="Times New Roman" w:cs="Times New Roman"/>
          <w:color w:val="222222"/>
          <w:sz w:val="24"/>
          <w:szCs w:val="24"/>
          <w:shd w:val="clear" w:color="auto" w:fill="FFFFFF"/>
        </w:rPr>
        <w:t>s</w:t>
      </w:r>
      <w:r w:rsidRPr="009B716D">
        <w:rPr>
          <w:rFonts w:ascii="Times New Roman" w:hAnsi="Times New Roman" w:cs="Times New Roman"/>
          <w:color w:val="222222"/>
          <w:sz w:val="24"/>
          <w:szCs w:val="24"/>
          <w:shd w:val="clear" w:color="auto" w:fill="FFFFFF"/>
        </w:rPr>
        <w:t xml:space="preserve">tudents in the </w:t>
      </w:r>
    </w:p>
    <w:p w14:paraId="599D3C2E" w14:textId="43ABFED9" w:rsidR="00E064F7" w:rsidRDefault="007D097A" w:rsidP="009D4093">
      <w:pPr>
        <w:pStyle w:val="FootnoteText"/>
        <w:snapToGrid w:val="0"/>
        <w:spacing w:before="120" w:after="120"/>
        <w:ind w:left="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w:t>
      </w:r>
      <w:r w:rsidR="00E064F7" w:rsidRPr="009B716D">
        <w:rPr>
          <w:rFonts w:ascii="Times New Roman" w:hAnsi="Times New Roman" w:cs="Times New Roman"/>
          <w:color w:val="222222"/>
          <w:sz w:val="24"/>
          <w:szCs w:val="24"/>
          <w:shd w:val="clear" w:color="auto" w:fill="FFFFFF"/>
        </w:rPr>
        <w:t xml:space="preserve">ramework of the </w:t>
      </w:r>
      <w:r>
        <w:rPr>
          <w:rFonts w:ascii="Times New Roman" w:hAnsi="Times New Roman" w:cs="Times New Roman"/>
          <w:color w:val="222222"/>
          <w:sz w:val="24"/>
          <w:szCs w:val="24"/>
          <w:shd w:val="clear" w:color="auto" w:fill="FFFFFF"/>
        </w:rPr>
        <w:t>h</w:t>
      </w:r>
      <w:r w:rsidR="00E064F7" w:rsidRPr="009B716D">
        <w:rPr>
          <w:rFonts w:ascii="Times New Roman" w:hAnsi="Times New Roman" w:cs="Times New Roman"/>
          <w:color w:val="222222"/>
          <w:sz w:val="24"/>
          <w:szCs w:val="24"/>
          <w:shd w:val="clear" w:color="auto" w:fill="FFFFFF"/>
        </w:rPr>
        <w:t xml:space="preserve">ealth </w:t>
      </w:r>
      <w:r>
        <w:rPr>
          <w:rFonts w:ascii="Times New Roman" w:hAnsi="Times New Roman" w:cs="Times New Roman"/>
          <w:color w:val="222222"/>
          <w:sz w:val="24"/>
          <w:szCs w:val="24"/>
          <w:shd w:val="clear" w:color="auto" w:fill="FFFFFF"/>
        </w:rPr>
        <w:t>p</w:t>
      </w:r>
      <w:r w:rsidR="00E064F7" w:rsidRPr="009B716D">
        <w:rPr>
          <w:rFonts w:ascii="Times New Roman" w:hAnsi="Times New Roman" w:cs="Times New Roman"/>
          <w:color w:val="222222"/>
          <w:sz w:val="24"/>
          <w:szCs w:val="24"/>
          <w:shd w:val="clear" w:color="auto" w:fill="FFFFFF"/>
        </w:rPr>
        <w:t xml:space="preserve">romoting </w:t>
      </w:r>
      <w:r>
        <w:rPr>
          <w:rFonts w:ascii="Times New Roman" w:hAnsi="Times New Roman" w:cs="Times New Roman"/>
          <w:color w:val="222222"/>
          <w:sz w:val="24"/>
          <w:szCs w:val="24"/>
          <w:shd w:val="clear" w:color="auto" w:fill="FFFFFF"/>
        </w:rPr>
        <w:t>w</w:t>
      </w:r>
      <w:r w:rsidR="00E064F7" w:rsidRPr="009B716D">
        <w:rPr>
          <w:rFonts w:ascii="Times New Roman" w:hAnsi="Times New Roman" w:cs="Times New Roman"/>
          <w:color w:val="222222"/>
          <w:sz w:val="24"/>
          <w:szCs w:val="24"/>
          <w:shd w:val="clear" w:color="auto" w:fill="FFFFFF"/>
        </w:rPr>
        <w:t>hole-</w:t>
      </w:r>
      <w:r>
        <w:rPr>
          <w:rFonts w:ascii="Times New Roman" w:hAnsi="Times New Roman" w:cs="Times New Roman"/>
          <w:color w:val="222222"/>
          <w:sz w:val="24"/>
          <w:szCs w:val="24"/>
          <w:shd w:val="clear" w:color="auto" w:fill="FFFFFF"/>
        </w:rPr>
        <w:t>s</w:t>
      </w:r>
      <w:r w:rsidR="00E064F7" w:rsidRPr="009B716D">
        <w:rPr>
          <w:rFonts w:ascii="Times New Roman" w:hAnsi="Times New Roman" w:cs="Times New Roman"/>
          <w:color w:val="222222"/>
          <w:sz w:val="24"/>
          <w:szCs w:val="24"/>
          <w:shd w:val="clear" w:color="auto" w:fill="FFFFFF"/>
        </w:rPr>
        <w:t xml:space="preserve">chool </w:t>
      </w:r>
      <w:r>
        <w:rPr>
          <w:rFonts w:ascii="Times New Roman" w:hAnsi="Times New Roman" w:cs="Times New Roman"/>
          <w:color w:val="222222"/>
          <w:sz w:val="24"/>
          <w:szCs w:val="24"/>
          <w:shd w:val="clear" w:color="auto" w:fill="FFFFFF"/>
        </w:rPr>
        <w:t>a</w:t>
      </w:r>
      <w:r w:rsidR="00E064F7" w:rsidRPr="009B716D">
        <w:rPr>
          <w:rFonts w:ascii="Times New Roman" w:hAnsi="Times New Roman" w:cs="Times New Roman"/>
          <w:color w:val="222222"/>
          <w:sz w:val="24"/>
          <w:szCs w:val="24"/>
          <w:shd w:val="clear" w:color="auto" w:fill="FFFFFF"/>
        </w:rPr>
        <w:t xml:space="preserve">pproach: An </w:t>
      </w:r>
      <w:r>
        <w:rPr>
          <w:rFonts w:ascii="Times New Roman" w:hAnsi="Times New Roman" w:cs="Times New Roman"/>
          <w:color w:val="222222"/>
          <w:sz w:val="24"/>
          <w:szCs w:val="24"/>
          <w:shd w:val="clear" w:color="auto" w:fill="FFFFFF"/>
        </w:rPr>
        <w:t>u</w:t>
      </w:r>
      <w:r w:rsidR="00E064F7" w:rsidRPr="009B716D">
        <w:rPr>
          <w:rFonts w:ascii="Times New Roman" w:hAnsi="Times New Roman" w:cs="Times New Roman"/>
          <w:color w:val="222222"/>
          <w:sz w:val="24"/>
          <w:szCs w:val="24"/>
          <w:shd w:val="clear" w:color="auto" w:fill="FFFFFF"/>
        </w:rPr>
        <w:t xml:space="preserve">mbrella </w:t>
      </w:r>
      <w:r>
        <w:rPr>
          <w:rFonts w:ascii="Times New Roman" w:hAnsi="Times New Roman" w:cs="Times New Roman"/>
          <w:color w:val="222222"/>
          <w:sz w:val="24"/>
          <w:szCs w:val="24"/>
          <w:shd w:val="clear" w:color="auto" w:fill="FFFFFF"/>
        </w:rPr>
        <w:t>r</w:t>
      </w:r>
      <w:r w:rsidR="00E064F7" w:rsidRPr="009B716D">
        <w:rPr>
          <w:rFonts w:ascii="Times New Roman" w:hAnsi="Times New Roman" w:cs="Times New Roman"/>
          <w:color w:val="222222"/>
          <w:sz w:val="24"/>
          <w:szCs w:val="24"/>
          <w:shd w:val="clear" w:color="auto" w:fill="FFFFFF"/>
        </w:rPr>
        <w:t>eview. </w:t>
      </w:r>
      <w:r w:rsidR="00E064F7" w:rsidRPr="009B716D">
        <w:rPr>
          <w:rFonts w:ascii="Times New Roman" w:hAnsi="Times New Roman" w:cs="Times New Roman"/>
          <w:i/>
          <w:iCs/>
          <w:color w:val="222222"/>
          <w:sz w:val="24"/>
          <w:szCs w:val="24"/>
          <w:shd w:val="clear" w:color="auto" w:fill="FFFFFF"/>
        </w:rPr>
        <w:t>Sustainability</w:t>
      </w:r>
      <w:r w:rsidR="00E064F7" w:rsidRPr="009B716D">
        <w:rPr>
          <w:rFonts w:ascii="Times New Roman" w:hAnsi="Times New Roman" w:cs="Times New Roman"/>
          <w:color w:val="222222"/>
          <w:sz w:val="24"/>
          <w:szCs w:val="24"/>
          <w:shd w:val="clear" w:color="auto" w:fill="FFFFFF"/>
        </w:rPr>
        <w:t>, </w:t>
      </w:r>
      <w:r w:rsidR="00E064F7" w:rsidRPr="009B716D">
        <w:rPr>
          <w:rFonts w:ascii="Times New Roman" w:hAnsi="Times New Roman" w:cs="Times New Roman"/>
          <w:i/>
          <w:iCs/>
          <w:color w:val="222222"/>
          <w:sz w:val="24"/>
          <w:szCs w:val="24"/>
          <w:shd w:val="clear" w:color="auto" w:fill="FFFFFF"/>
        </w:rPr>
        <w:t>15</w:t>
      </w:r>
      <w:r w:rsidR="00E064F7" w:rsidRPr="009B716D">
        <w:rPr>
          <w:rFonts w:ascii="Times New Roman" w:hAnsi="Times New Roman" w:cs="Times New Roman"/>
          <w:color w:val="222222"/>
          <w:sz w:val="24"/>
          <w:szCs w:val="24"/>
          <w:shd w:val="clear" w:color="auto" w:fill="FFFFFF"/>
        </w:rPr>
        <w:t>(3), 1894.</w:t>
      </w:r>
    </w:p>
    <w:p w14:paraId="75FD2ED9" w14:textId="77777777" w:rsidR="007957EC" w:rsidRDefault="007957EC" w:rsidP="009D4093">
      <w:pPr>
        <w:pStyle w:val="Default"/>
        <w:snapToGrid w:val="0"/>
        <w:spacing w:before="120" w:after="120"/>
        <w:jc w:val="both"/>
        <w:rPr>
          <w:color w:val="222222"/>
          <w:shd w:val="clear" w:color="auto" w:fill="FFFFFF"/>
        </w:rPr>
      </w:pPr>
      <w:r>
        <w:rPr>
          <w:color w:val="222222"/>
          <w:shd w:val="clear" w:color="auto" w:fill="FFFFFF"/>
        </w:rPr>
        <w:t xml:space="preserve">McEwan, P. (2012). The impact of Chile’s school feeding program on education outcomes. </w:t>
      </w:r>
    </w:p>
    <w:p w14:paraId="0468A87C" w14:textId="19E71E8B" w:rsidR="007957EC" w:rsidRDefault="007957EC" w:rsidP="009D4093">
      <w:pPr>
        <w:pStyle w:val="Default"/>
        <w:snapToGrid w:val="0"/>
        <w:spacing w:before="120" w:after="120"/>
        <w:ind w:firstLine="720"/>
        <w:jc w:val="both"/>
        <w:rPr>
          <w:color w:val="222222"/>
          <w:shd w:val="clear" w:color="auto" w:fill="FFFFFF"/>
        </w:rPr>
      </w:pPr>
      <w:r w:rsidRPr="00186CC9">
        <w:rPr>
          <w:i/>
          <w:iCs/>
          <w:color w:val="222222"/>
          <w:shd w:val="clear" w:color="auto" w:fill="FFFFFF"/>
        </w:rPr>
        <w:t>Economics of Educational Review, 32</w:t>
      </w:r>
      <w:r>
        <w:rPr>
          <w:color w:val="222222"/>
          <w:shd w:val="clear" w:color="auto" w:fill="FFFFFF"/>
        </w:rPr>
        <w:t xml:space="preserve">(2013), 122-139 </w:t>
      </w:r>
    </w:p>
    <w:p w14:paraId="49AAB55C" w14:textId="77777777" w:rsidR="00546592" w:rsidRDefault="00546592" w:rsidP="009D4093">
      <w:pPr>
        <w:pStyle w:val="FootnoteText"/>
        <w:snapToGrid w:val="0"/>
        <w:spacing w:before="120" w:after="1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MoEYS</w:t>
      </w:r>
      <w:proofErr w:type="spellEnd"/>
      <w:r>
        <w:rPr>
          <w:rFonts w:ascii="Times New Roman" w:hAnsi="Times New Roman" w:cs="Times New Roman"/>
          <w:color w:val="222222"/>
          <w:sz w:val="24"/>
          <w:szCs w:val="24"/>
          <w:shd w:val="clear" w:color="auto" w:fill="FFFFFF"/>
        </w:rPr>
        <w:t xml:space="preserve">. (2006). </w:t>
      </w:r>
      <w:r w:rsidRPr="00546592">
        <w:rPr>
          <w:rFonts w:ascii="Times New Roman" w:hAnsi="Times New Roman" w:cs="Times New Roman"/>
          <w:i/>
          <w:iCs/>
          <w:color w:val="222222"/>
          <w:sz w:val="24"/>
          <w:szCs w:val="24"/>
          <w:shd w:val="clear" w:color="auto" w:fill="FFFFFF"/>
        </w:rPr>
        <w:t>School health policy</w:t>
      </w:r>
      <w:r>
        <w:rPr>
          <w:rFonts w:ascii="Times New Roman" w:hAnsi="Times New Roman" w:cs="Times New Roman"/>
          <w:color w:val="222222"/>
          <w:sz w:val="24"/>
          <w:szCs w:val="24"/>
          <w:shd w:val="clear" w:color="auto" w:fill="FFFFFF"/>
        </w:rPr>
        <w:t xml:space="preserve">. Phnom Penh, Cambodia: Ministry of Education, Youth </w:t>
      </w:r>
    </w:p>
    <w:p w14:paraId="791396E7" w14:textId="1747FA05" w:rsidR="00546592" w:rsidRPr="00E064F7" w:rsidRDefault="00546592" w:rsidP="009D4093">
      <w:pPr>
        <w:pStyle w:val="FootnoteText"/>
        <w:snapToGrid w:val="0"/>
        <w:spacing w:before="120" w:after="120"/>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and Sport </w:t>
      </w:r>
    </w:p>
    <w:p w14:paraId="6246DC0C" w14:textId="50B39C09" w:rsidR="009F273F" w:rsidRDefault="009F273F" w:rsidP="009D4093">
      <w:pPr>
        <w:pStyle w:val="Default"/>
        <w:snapToGrid w:val="0"/>
        <w:spacing w:before="120" w:after="120"/>
        <w:jc w:val="both"/>
        <w:rPr>
          <w:color w:val="222222"/>
          <w:shd w:val="clear" w:color="auto" w:fill="FFFFFF"/>
        </w:rPr>
      </w:pPr>
      <w:proofErr w:type="spellStart"/>
      <w:r>
        <w:rPr>
          <w:color w:val="222222"/>
          <w:shd w:val="clear" w:color="auto" w:fill="FFFFFF"/>
        </w:rPr>
        <w:t>MoEYS</w:t>
      </w:r>
      <w:proofErr w:type="spellEnd"/>
      <w:r>
        <w:rPr>
          <w:color w:val="222222"/>
          <w:shd w:val="clear" w:color="auto" w:fill="FFFFFF"/>
        </w:rPr>
        <w:t>. (2019</w:t>
      </w:r>
      <w:r w:rsidR="001F6DB1">
        <w:rPr>
          <w:color w:val="222222"/>
          <w:shd w:val="clear" w:color="auto" w:fill="FFFFFF"/>
        </w:rPr>
        <w:t>a</w:t>
      </w:r>
      <w:r>
        <w:rPr>
          <w:color w:val="222222"/>
          <w:shd w:val="clear" w:color="auto" w:fill="FFFFFF"/>
        </w:rPr>
        <w:t xml:space="preserve">). </w:t>
      </w:r>
      <w:r w:rsidRPr="009F273F">
        <w:rPr>
          <w:i/>
          <w:iCs/>
          <w:color w:val="222222"/>
          <w:shd w:val="clear" w:color="auto" w:fill="FFFFFF"/>
        </w:rPr>
        <w:t>Education strategic plan 2019-2023</w:t>
      </w:r>
      <w:r>
        <w:rPr>
          <w:color w:val="222222"/>
          <w:shd w:val="clear" w:color="auto" w:fill="FFFFFF"/>
        </w:rPr>
        <w:t xml:space="preserve">. Phnom Penh, Cambodia: Ministry of </w:t>
      </w:r>
    </w:p>
    <w:p w14:paraId="3E6CED91" w14:textId="1575F810" w:rsidR="009F273F" w:rsidRDefault="009F273F" w:rsidP="009D4093">
      <w:pPr>
        <w:pStyle w:val="Default"/>
        <w:snapToGrid w:val="0"/>
        <w:spacing w:before="120" w:after="120"/>
        <w:ind w:firstLine="720"/>
        <w:jc w:val="both"/>
        <w:rPr>
          <w:color w:val="222222"/>
          <w:shd w:val="clear" w:color="auto" w:fill="FFFFFF"/>
        </w:rPr>
      </w:pPr>
      <w:r>
        <w:rPr>
          <w:color w:val="222222"/>
          <w:shd w:val="clear" w:color="auto" w:fill="FFFFFF"/>
        </w:rPr>
        <w:t xml:space="preserve">Education, Youth and Sport  </w:t>
      </w:r>
    </w:p>
    <w:p w14:paraId="2A0CA13C" w14:textId="77777777" w:rsidR="001F6DB1" w:rsidRDefault="001F6DB1" w:rsidP="009D4093">
      <w:pPr>
        <w:pStyle w:val="Default"/>
        <w:snapToGrid w:val="0"/>
        <w:spacing w:before="120" w:after="120"/>
        <w:jc w:val="both"/>
        <w:rPr>
          <w:color w:val="222222"/>
          <w:shd w:val="clear" w:color="auto" w:fill="FFFFFF"/>
        </w:rPr>
      </w:pPr>
      <w:proofErr w:type="spellStart"/>
      <w:r>
        <w:rPr>
          <w:color w:val="222222"/>
          <w:shd w:val="clear" w:color="auto" w:fill="FFFFFF"/>
        </w:rPr>
        <w:t>MoEYS</w:t>
      </w:r>
      <w:proofErr w:type="spellEnd"/>
      <w:r>
        <w:rPr>
          <w:color w:val="222222"/>
          <w:shd w:val="clear" w:color="auto" w:fill="FFFFFF"/>
        </w:rPr>
        <w:t xml:space="preserve">. (2019b). </w:t>
      </w:r>
      <w:r w:rsidRPr="001F6DB1">
        <w:rPr>
          <w:i/>
          <w:iCs/>
          <w:color w:val="222222"/>
          <w:shd w:val="clear" w:color="auto" w:fill="FFFFFF"/>
        </w:rPr>
        <w:t>Cambodia’s education 2030 roadmap: Sustainable development-goal4</w:t>
      </w:r>
      <w:r>
        <w:rPr>
          <w:color w:val="222222"/>
          <w:shd w:val="clear" w:color="auto" w:fill="FFFFFF"/>
        </w:rPr>
        <w:t xml:space="preserve">. </w:t>
      </w:r>
    </w:p>
    <w:p w14:paraId="69BA3BC7" w14:textId="4416ACA4" w:rsidR="001F6DB1" w:rsidRDefault="001F6DB1" w:rsidP="009D4093">
      <w:pPr>
        <w:pStyle w:val="Default"/>
        <w:snapToGrid w:val="0"/>
        <w:spacing w:before="120" w:after="120"/>
        <w:ind w:firstLine="720"/>
        <w:jc w:val="both"/>
        <w:rPr>
          <w:color w:val="222222"/>
          <w:shd w:val="clear" w:color="auto" w:fill="FFFFFF"/>
        </w:rPr>
      </w:pPr>
      <w:r>
        <w:rPr>
          <w:color w:val="222222"/>
          <w:shd w:val="clear" w:color="auto" w:fill="FFFFFF"/>
        </w:rPr>
        <w:t xml:space="preserve">Phnom Penh, Cambodia: Ministry of Education, Youth and Sport  </w:t>
      </w:r>
    </w:p>
    <w:p w14:paraId="3965A34E" w14:textId="77777777" w:rsidR="00072FB9" w:rsidRDefault="00072FB9" w:rsidP="009D4093">
      <w:pPr>
        <w:pStyle w:val="Default"/>
        <w:snapToGrid w:val="0"/>
        <w:spacing w:before="120" w:after="120"/>
        <w:jc w:val="both"/>
        <w:rPr>
          <w:color w:val="222222"/>
          <w:shd w:val="clear" w:color="auto" w:fill="FFFFFF"/>
        </w:rPr>
      </w:pPr>
      <w:proofErr w:type="spellStart"/>
      <w:r>
        <w:rPr>
          <w:color w:val="222222"/>
          <w:shd w:val="clear" w:color="auto" w:fill="FFFFFF"/>
        </w:rPr>
        <w:t>MoEYS</w:t>
      </w:r>
      <w:proofErr w:type="spellEnd"/>
      <w:r>
        <w:rPr>
          <w:color w:val="222222"/>
          <w:shd w:val="clear" w:color="auto" w:fill="FFFFFF"/>
        </w:rPr>
        <w:t xml:space="preserve">. (2022). </w:t>
      </w:r>
      <w:r w:rsidRPr="00072FB9">
        <w:rPr>
          <w:i/>
          <w:iCs/>
          <w:color w:val="222222"/>
          <w:shd w:val="clear" w:color="auto" w:fill="FFFFFF"/>
        </w:rPr>
        <w:t>National action plan on school health 2021-2030</w:t>
      </w:r>
      <w:r>
        <w:rPr>
          <w:color w:val="222222"/>
          <w:shd w:val="clear" w:color="auto" w:fill="FFFFFF"/>
        </w:rPr>
        <w:t xml:space="preserve">. Phnom Penh, Cambodia: </w:t>
      </w:r>
    </w:p>
    <w:p w14:paraId="66B744E9" w14:textId="0B36C5AD" w:rsidR="00072FB9" w:rsidRDefault="00072FB9" w:rsidP="009D4093">
      <w:pPr>
        <w:pStyle w:val="Default"/>
        <w:snapToGrid w:val="0"/>
        <w:spacing w:before="120" w:after="120"/>
        <w:ind w:firstLine="720"/>
        <w:jc w:val="both"/>
        <w:rPr>
          <w:color w:val="222222"/>
          <w:shd w:val="clear" w:color="auto" w:fill="FFFFFF"/>
        </w:rPr>
      </w:pPr>
      <w:r>
        <w:rPr>
          <w:color w:val="222222"/>
          <w:shd w:val="clear" w:color="auto" w:fill="FFFFFF"/>
        </w:rPr>
        <w:t xml:space="preserve">Ministry of Education, Youth and Sport </w:t>
      </w:r>
    </w:p>
    <w:p w14:paraId="508907C9" w14:textId="77777777" w:rsidR="001A7045" w:rsidRDefault="001A7045" w:rsidP="009D4093">
      <w:pPr>
        <w:pStyle w:val="Default"/>
        <w:snapToGrid w:val="0"/>
        <w:spacing w:before="120" w:after="120"/>
        <w:jc w:val="both"/>
        <w:rPr>
          <w:i/>
          <w:iCs/>
          <w:color w:val="222222"/>
          <w:shd w:val="clear" w:color="auto" w:fill="FFFFFF"/>
        </w:rPr>
      </w:pPr>
      <w:proofErr w:type="spellStart"/>
      <w:r>
        <w:rPr>
          <w:color w:val="222222"/>
          <w:shd w:val="clear" w:color="auto" w:fill="FFFFFF"/>
        </w:rPr>
        <w:t>MoEYS</w:t>
      </w:r>
      <w:proofErr w:type="spellEnd"/>
      <w:r>
        <w:rPr>
          <w:color w:val="222222"/>
          <w:shd w:val="clear" w:color="auto" w:fill="FFFFFF"/>
        </w:rPr>
        <w:t xml:space="preserve">. (2023). </w:t>
      </w:r>
      <w:r w:rsidRPr="001A7045">
        <w:rPr>
          <w:i/>
          <w:iCs/>
          <w:color w:val="222222"/>
          <w:shd w:val="clear" w:color="auto" w:fill="FFFFFF"/>
        </w:rPr>
        <w:t xml:space="preserve">Education congress: Concluding education, youth and sport achievements </w:t>
      </w:r>
    </w:p>
    <w:p w14:paraId="34E9F1A9" w14:textId="7B9766DB" w:rsidR="001A7045" w:rsidRDefault="001A7045" w:rsidP="009D4093">
      <w:pPr>
        <w:pStyle w:val="Default"/>
        <w:snapToGrid w:val="0"/>
        <w:spacing w:before="120" w:after="120"/>
        <w:ind w:left="720"/>
        <w:jc w:val="both"/>
        <w:rPr>
          <w:color w:val="222222"/>
          <w:shd w:val="clear" w:color="auto" w:fill="FFFFFF"/>
        </w:rPr>
      </w:pPr>
      <w:r w:rsidRPr="001A7045">
        <w:rPr>
          <w:i/>
          <w:iCs/>
          <w:color w:val="222222"/>
          <w:shd w:val="clear" w:color="auto" w:fill="FFFFFF"/>
        </w:rPr>
        <w:t>2021-2022 take stocking for 2022-2023</w:t>
      </w:r>
      <w:r>
        <w:rPr>
          <w:color w:val="222222"/>
          <w:shd w:val="clear" w:color="auto" w:fill="FFFFFF"/>
        </w:rPr>
        <w:t xml:space="preserve"> [Khmer report]. Phnom Penh, Cambodia: Ministry of Education, Youth and Sport   </w:t>
      </w:r>
    </w:p>
    <w:p w14:paraId="5186CA95" w14:textId="46D36A54" w:rsidR="00D63FC2" w:rsidRDefault="00E7006D" w:rsidP="009D4093">
      <w:pPr>
        <w:autoSpaceDE w:val="0"/>
        <w:autoSpaceDN w:val="0"/>
        <w:adjustRightInd w:val="0"/>
        <w:snapToGrid w:val="0"/>
        <w:spacing w:after="120" w:line="240" w:lineRule="auto"/>
        <w:jc w:val="both"/>
        <w:rPr>
          <w:rFonts w:ascii="Times New Roman" w:hAnsi="Times New Roman" w:cs="Times New Roman"/>
          <w:color w:val="222222"/>
          <w:sz w:val="24"/>
          <w:szCs w:val="24"/>
          <w:shd w:val="clear" w:color="auto" w:fill="FFFFFF"/>
        </w:rPr>
      </w:pPr>
      <w:r w:rsidRPr="00841583">
        <w:rPr>
          <w:rFonts w:ascii="Times New Roman" w:hAnsi="Times New Roman" w:cs="Times New Roman"/>
          <w:color w:val="222222"/>
          <w:sz w:val="24"/>
          <w:szCs w:val="24"/>
          <w:shd w:val="clear" w:color="auto" w:fill="FFFFFF"/>
        </w:rPr>
        <w:t>Moore, L. M. (1996). The basic practice of statistics.</w:t>
      </w:r>
    </w:p>
    <w:p w14:paraId="7386B56D" w14:textId="7EA37895" w:rsidR="00D63FC2" w:rsidRPr="00D63FC2" w:rsidRDefault="00D63FC2" w:rsidP="00D63FC2">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D63FC2">
        <w:rPr>
          <w:rFonts w:ascii="Times New Roman" w:hAnsi="Times New Roman" w:cs="Times New Roman"/>
          <w:color w:val="222222"/>
          <w:sz w:val="24"/>
          <w:szCs w:val="24"/>
          <w:shd w:val="clear" w:color="auto" w:fill="FFFFFF"/>
        </w:rPr>
        <w:t>Muijs</w:t>
      </w:r>
      <w:proofErr w:type="spellEnd"/>
      <w:r w:rsidRPr="00D63FC2">
        <w:rPr>
          <w:rFonts w:ascii="Times New Roman" w:hAnsi="Times New Roman" w:cs="Times New Roman"/>
          <w:color w:val="222222"/>
          <w:sz w:val="24"/>
          <w:szCs w:val="24"/>
          <w:shd w:val="clear" w:color="auto" w:fill="FFFFFF"/>
        </w:rPr>
        <w:t>, D. (2010).</w:t>
      </w:r>
      <w:r>
        <w:rPr>
          <w:rFonts w:ascii="Times New Roman" w:hAnsi="Times New Roman" w:cs="Times New Roman"/>
          <w:color w:val="222222"/>
          <w:sz w:val="24"/>
          <w:szCs w:val="24"/>
          <w:shd w:val="clear" w:color="auto" w:fill="FFFFFF"/>
        </w:rPr>
        <w:t xml:space="preserve"> </w:t>
      </w:r>
      <w:r w:rsidRPr="00D63FC2">
        <w:rPr>
          <w:rFonts w:ascii="Times New Roman" w:hAnsi="Times New Roman" w:cs="Times New Roman"/>
          <w:i/>
          <w:iCs/>
          <w:color w:val="222222"/>
          <w:sz w:val="24"/>
          <w:szCs w:val="24"/>
          <w:shd w:val="clear" w:color="auto" w:fill="FFFFFF"/>
        </w:rPr>
        <w:t>Doing quantitative research in education with SPSS</w:t>
      </w:r>
      <w:r>
        <w:rPr>
          <w:rFonts w:ascii="Times New Roman" w:hAnsi="Times New Roman" w:cs="Times New Roman"/>
          <w:color w:val="222222"/>
          <w:sz w:val="24"/>
          <w:szCs w:val="24"/>
          <w:shd w:val="clear" w:color="auto" w:fill="FFFFFF"/>
        </w:rPr>
        <w:t>. Sage</w:t>
      </w:r>
    </w:p>
    <w:p w14:paraId="09EA8FE6" w14:textId="77777777" w:rsidR="00893A55" w:rsidRDefault="00893A55"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D24D94">
        <w:rPr>
          <w:rFonts w:ascii="Times New Roman" w:hAnsi="Times New Roman" w:cs="Times New Roman"/>
          <w:color w:val="222222"/>
          <w:sz w:val="24"/>
          <w:szCs w:val="24"/>
          <w:shd w:val="clear" w:color="auto" w:fill="FFFFFF"/>
        </w:rPr>
        <w:t xml:space="preserve">Nguyen, D. T., Wright, E. P., Pham, T. T., &amp; Bunders, J. (2020). Role of school health officers </w:t>
      </w:r>
    </w:p>
    <w:p w14:paraId="1F479CD2" w14:textId="760DC925" w:rsidR="00893A55" w:rsidRDefault="00893A55"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D24D94">
        <w:rPr>
          <w:rFonts w:ascii="Times New Roman" w:hAnsi="Times New Roman" w:cs="Times New Roman"/>
          <w:color w:val="222222"/>
          <w:sz w:val="24"/>
          <w:szCs w:val="24"/>
          <w:shd w:val="clear" w:color="auto" w:fill="FFFFFF"/>
        </w:rPr>
        <w:t>in mental health care for secondary school students in Can Tho City, Vietnam. </w:t>
      </w:r>
      <w:r w:rsidRPr="00D24D94">
        <w:rPr>
          <w:rFonts w:ascii="Times New Roman" w:hAnsi="Times New Roman" w:cs="Times New Roman"/>
          <w:i/>
          <w:iCs/>
          <w:color w:val="222222"/>
          <w:sz w:val="24"/>
          <w:szCs w:val="24"/>
          <w:shd w:val="clear" w:color="auto" w:fill="FFFFFF"/>
        </w:rPr>
        <w:t>School Mental Health</w:t>
      </w:r>
      <w:r w:rsidRPr="00D24D94">
        <w:rPr>
          <w:rFonts w:ascii="Times New Roman" w:hAnsi="Times New Roman" w:cs="Times New Roman"/>
          <w:color w:val="222222"/>
          <w:sz w:val="24"/>
          <w:szCs w:val="24"/>
          <w:shd w:val="clear" w:color="auto" w:fill="FFFFFF"/>
        </w:rPr>
        <w:t>, </w:t>
      </w:r>
      <w:r w:rsidRPr="00D24D94">
        <w:rPr>
          <w:rFonts w:ascii="Times New Roman" w:hAnsi="Times New Roman" w:cs="Times New Roman"/>
          <w:i/>
          <w:iCs/>
          <w:color w:val="222222"/>
          <w:sz w:val="24"/>
          <w:szCs w:val="24"/>
          <w:shd w:val="clear" w:color="auto" w:fill="FFFFFF"/>
        </w:rPr>
        <w:t>12</w:t>
      </w:r>
      <w:r w:rsidRPr="00D24D94">
        <w:rPr>
          <w:rFonts w:ascii="Times New Roman" w:hAnsi="Times New Roman" w:cs="Times New Roman"/>
          <w:color w:val="222222"/>
          <w:sz w:val="24"/>
          <w:szCs w:val="24"/>
          <w:shd w:val="clear" w:color="auto" w:fill="FFFFFF"/>
        </w:rPr>
        <w:t>, 801-811.</w:t>
      </w:r>
    </w:p>
    <w:p w14:paraId="41B33FFD" w14:textId="77777777" w:rsidR="00D22802" w:rsidRDefault="00D22802" w:rsidP="009D4093">
      <w:pPr>
        <w:pStyle w:val="FootnoteText"/>
        <w:snapToGrid w:val="0"/>
        <w:spacing w:before="120" w:after="120"/>
        <w:jc w:val="both"/>
        <w:rPr>
          <w:rFonts w:ascii="Times New Roman" w:hAnsi="Times New Roman" w:cs="Times New Roman"/>
          <w:color w:val="222222"/>
          <w:sz w:val="24"/>
          <w:szCs w:val="24"/>
          <w:shd w:val="clear" w:color="auto" w:fill="FFFFFF"/>
        </w:rPr>
      </w:pPr>
      <w:proofErr w:type="spellStart"/>
      <w:r w:rsidRPr="00D22802">
        <w:rPr>
          <w:rFonts w:ascii="Times New Roman" w:hAnsi="Times New Roman" w:cs="Times New Roman"/>
          <w:color w:val="222222"/>
          <w:sz w:val="24"/>
          <w:szCs w:val="24"/>
          <w:shd w:val="clear" w:color="auto" w:fill="FFFFFF"/>
        </w:rPr>
        <w:t>Nigg</w:t>
      </w:r>
      <w:proofErr w:type="spellEnd"/>
      <w:r w:rsidRPr="00D22802">
        <w:rPr>
          <w:rFonts w:ascii="Times New Roman" w:hAnsi="Times New Roman" w:cs="Times New Roman"/>
          <w:color w:val="222222"/>
          <w:sz w:val="24"/>
          <w:szCs w:val="24"/>
          <w:shd w:val="clear" w:color="auto" w:fill="FFFFFF"/>
        </w:rPr>
        <w:t xml:space="preserve">, C. R., &amp; Amato, K. (2015). The influence of health behaviors during childhood on </w:t>
      </w:r>
    </w:p>
    <w:p w14:paraId="3792A1A1" w14:textId="4C49AE5F" w:rsidR="00D22802" w:rsidRPr="00D22802" w:rsidRDefault="00D22802" w:rsidP="009D4093">
      <w:pPr>
        <w:pStyle w:val="FootnoteText"/>
        <w:snapToGrid w:val="0"/>
        <w:spacing w:before="120" w:after="120"/>
        <w:ind w:left="720"/>
        <w:jc w:val="both"/>
        <w:rPr>
          <w:rFonts w:ascii="Times New Roman" w:hAnsi="Times New Roman" w:cs="Times New Roman"/>
          <w:color w:val="222222"/>
          <w:sz w:val="24"/>
          <w:szCs w:val="24"/>
          <w:shd w:val="clear" w:color="auto" w:fill="FFFFFF"/>
        </w:rPr>
      </w:pPr>
      <w:r w:rsidRPr="00D22802">
        <w:rPr>
          <w:rFonts w:ascii="Times New Roman" w:hAnsi="Times New Roman" w:cs="Times New Roman"/>
          <w:color w:val="222222"/>
          <w:sz w:val="24"/>
          <w:szCs w:val="24"/>
          <w:shd w:val="clear" w:color="auto" w:fill="FFFFFF"/>
        </w:rPr>
        <w:t>adolescent health behaviors, health indicators, and academic outcomes among participants from Hawaii. </w:t>
      </w:r>
      <w:r w:rsidRPr="00D22802">
        <w:rPr>
          <w:rFonts w:ascii="Times New Roman" w:hAnsi="Times New Roman" w:cs="Times New Roman"/>
          <w:i/>
          <w:iCs/>
          <w:color w:val="222222"/>
          <w:sz w:val="24"/>
          <w:szCs w:val="24"/>
          <w:shd w:val="clear" w:color="auto" w:fill="FFFFFF"/>
        </w:rPr>
        <w:t>International journal of behavioral medicine</w:t>
      </w:r>
      <w:r w:rsidRPr="00D22802">
        <w:rPr>
          <w:rFonts w:ascii="Times New Roman" w:hAnsi="Times New Roman" w:cs="Times New Roman"/>
          <w:color w:val="222222"/>
          <w:sz w:val="24"/>
          <w:szCs w:val="24"/>
          <w:shd w:val="clear" w:color="auto" w:fill="FFFFFF"/>
        </w:rPr>
        <w:t>, </w:t>
      </w:r>
      <w:r w:rsidRPr="00D22802">
        <w:rPr>
          <w:rFonts w:ascii="Times New Roman" w:hAnsi="Times New Roman" w:cs="Times New Roman"/>
          <w:i/>
          <w:iCs/>
          <w:color w:val="222222"/>
          <w:sz w:val="24"/>
          <w:szCs w:val="24"/>
          <w:shd w:val="clear" w:color="auto" w:fill="FFFFFF"/>
        </w:rPr>
        <w:t>22</w:t>
      </w:r>
      <w:r w:rsidRPr="00D22802">
        <w:rPr>
          <w:rFonts w:ascii="Times New Roman" w:hAnsi="Times New Roman" w:cs="Times New Roman"/>
          <w:color w:val="222222"/>
          <w:sz w:val="24"/>
          <w:szCs w:val="24"/>
          <w:shd w:val="clear" w:color="auto" w:fill="FFFFFF"/>
        </w:rPr>
        <w:t>, 452-460.</w:t>
      </w:r>
    </w:p>
    <w:p w14:paraId="58A7C38C" w14:textId="30513CB4" w:rsidR="00647108" w:rsidRDefault="00647108" w:rsidP="009D4093">
      <w:pPr>
        <w:pStyle w:val="FootnoteText"/>
        <w:snapToGrid w:val="0"/>
        <w:spacing w:before="120" w:after="120"/>
        <w:jc w:val="both"/>
        <w:rPr>
          <w:rFonts w:ascii="Times New Roman" w:hAnsi="Times New Roman" w:cs="Times New Roman"/>
          <w:color w:val="222222"/>
          <w:sz w:val="24"/>
          <w:szCs w:val="24"/>
          <w:shd w:val="clear" w:color="auto" w:fill="FFFFFF"/>
        </w:rPr>
      </w:pPr>
      <w:proofErr w:type="spellStart"/>
      <w:r w:rsidRPr="009B716D">
        <w:rPr>
          <w:rFonts w:ascii="Times New Roman" w:hAnsi="Times New Roman" w:cs="Times New Roman"/>
          <w:color w:val="222222"/>
          <w:sz w:val="24"/>
          <w:szCs w:val="24"/>
          <w:shd w:val="clear" w:color="auto" w:fill="FFFFFF"/>
        </w:rPr>
        <w:t>Oldroyd</w:t>
      </w:r>
      <w:proofErr w:type="spellEnd"/>
      <w:r w:rsidRPr="009B716D">
        <w:rPr>
          <w:rFonts w:ascii="Times New Roman" w:hAnsi="Times New Roman" w:cs="Times New Roman"/>
          <w:color w:val="222222"/>
          <w:sz w:val="24"/>
          <w:szCs w:val="24"/>
          <w:shd w:val="clear" w:color="auto" w:fill="FFFFFF"/>
        </w:rPr>
        <w:t xml:space="preserve">, J., Burns, C., Lucas, P., </w:t>
      </w:r>
      <w:proofErr w:type="spellStart"/>
      <w:r w:rsidRPr="009B716D">
        <w:rPr>
          <w:rFonts w:ascii="Times New Roman" w:hAnsi="Times New Roman" w:cs="Times New Roman"/>
          <w:color w:val="222222"/>
          <w:sz w:val="24"/>
          <w:szCs w:val="24"/>
          <w:shd w:val="clear" w:color="auto" w:fill="FFFFFF"/>
        </w:rPr>
        <w:t>Haikerwal</w:t>
      </w:r>
      <w:proofErr w:type="spellEnd"/>
      <w:r w:rsidRPr="009B716D">
        <w:rPr>
          <w:rFonts w:ascii="Times New Roman" w:hAnsi="Times New Roman" w:cs="Times New Roman"/>
          <w:color w:val="222222"/>
          <w:sz w:val="24"/>
          <w:szCs w:val="24"/>
          <w:shd w:val="clear" w:color="auto" w:fill="FFFFFF"/>
        </w:rPr>
        <w:t xml:space="preserve">, A., &amp; Waters, E. (2008). The effectiveness of </w:t>
      </w:r>
    </w:p>
    <w:p w14:paraId="3FAFF0B3" w14:textId="4E3CAFD9" w:rsidR="00647108" w:rsidRPr="00647108" w:rsidRDefault="00647108" w:rsidP="009D4093">
      <w:pPr>
        <w:pStyle w:val="FootnoteText"/>
        <w:snapToGrid w:val="0"/>
        <w:spacing w:before="120" w:after="120"/>
        <w:ind w:left="720"/>
        <w:jc w:val="both"/>
        <w:rPr>
          <w:rFonts w:ascii="Times New Roman" w:hAnsi="Times New Roman" w:cs="Times New Roman"/>
          <w:sz w:val="24"/>
          <w:szCs w:val="24"/>
        </w:rPr>
      </w:pPr>
      <w:r w:rsidRPr="009B716D">
        <w:rPr>
          <w:rFonts w:ascii="Times New Roman" w:hAnsi="Times New Roman" w:cs="Times New Roman"/>
          <w:color w:val="222222"/>
          <w:sz w:val="24"/>
          <w:szCs w:val="24"/>
          <w:shd w:val="clear" w:color="auto" w:fill="FFFFFF"/>
        </w:rPr>
        <w:t xml:space="preserve">nutrition interventions on dietary outcomes by relative social disadvantage: </w:t>
      </w:r>
      <w:r w:rsidR="007907BF">
        <w:rPr>
          <w:rFonts w:ascii="Times New Roman" w:hAnsi="Times New Roman" w:cs="Times New Roman"/>
          <w:color w:val="222222"/>
          <w:sz w:val="24"/>
          <w:szCs w:val="24"/>
          <w:shd w:val="clear" w:color="auto" w:fill="FFFFFF"/>
        </w:rPr>
        <w:t>A</w:t>
      </w:r>
      <w:r w:rsidRPr="009B716D">
        <w:rPr>
          <w:rFonts w:ascii="Times New Roman" w:hAnsi="Times New Roman" w:cs="Times New Roman"/>
          <w:color w:val="222222"/>
          <w:sz w:val="24"/>
          <w:szCs w:val="24"/>
          <w:shd w:val="clear" w:color="auto" w:fill="FFFFFF"/>
        </w:rPr>
        <w:t xml:space="preserve"> systematic review. </w:t>
      </w:r>
      <w:r w:rsidRPr="009B716D">
        <w:rPr>
          <w:rFonts w:ascii="Times New Roman" w:hAnsi="Times New Roman" w:cs="Times New Roman"/>
          <w:i/>
          <w:iCs/>
          <w:color w:val="222222"/>
          <w:sz w:val="24"/>
          <w:szCs w:val="24"/>
          <w:shd w:val="clear" w:color="auto" w:fill="FFFFFF"/>
        </w:rPr>
        <w:t>Journal of Epidemiology &amp; Community Health</w:t>
      </w:r>
      <w:r w:rsidRPr="009B716D">
        <w:rPr>
          <w:rFonts w:ascii="Times New Roman" w:hAnsi="Times New Roman" w:cs="Times New Roman"/>
          <w:color w:val="222222"/>
          <w:sz w:val="24"/>
          <w:szCs w:val="24"/>
          <w:shd w:val="clear" w:color="auto" w:fill="FFFFFF"/>
        </w:rPr>
        <w:t>, </w:t>
      </w:r>
      <w:r w:rsidRPr="009B716D">
        <w:rPr>
          <w:rFonts w:ascii="Times New Roman" w:hAnsi="Times New Roman" w:cs="Times New Roman"/>
          <w:i/>
          <w:iCs/>
          <w:color w:val="222222"/>
          <w:sz w:val="24"/>
          <w:szCs w:val="24"/>
          <w:shd w:val="clear" w:color="auto" w:fill="FFFFFF"/>
        </w:rPr>
        <w:t>62</w:t>
      </w:r>
      <w:r w:rsidRPr="009B716D">
        <w:rPr>
          <w:rFonts w:ascii="Times New Roman" w:hAnsi="Times New Roman" w:cs="Times New Roman"/>
          <w:color w:val="222222"/>
          <w:sz w:val="24"/>
          <w:szCs w:val="24"/>
          <w:shd w:val="clear" w:color="auto" w:fill="FFFFFF"/>
        </w:rPr>
        <w:t>(7), 573-579.</w:t>
      </w:r>
    </w:p>
    <w:p w14:paraId="71765D65" w14:textId="7E40ECAB" w:rsidR="00E11FE5" w:rsidRDefault="00E11FE5" w:rsidP="009D4093">
      <w:pPr>
        <w:pStyle w:val="Default"/>
        <w:snapToGrid w:val="0"/>
        <w:spacing w:before="120" w:after="120"/>
        <w:jc w:val="both"/>
        <w:rPr>
          <w:color w:val="222222"/>
          <w:shd w:val="clear" w:color="auto" w:fill="FFFFFF"/>
        </w:rPr>
      </w:pPr>
      <w:r w:rsidRPr="00E11FE5">
        <w:rPr>
          <w:color w:val="222222"/>
          <w:shd w:val="clear" w:color="auto" w:fill="FFFFFF"/>
        </w:rPr>
        <w:t>Pérez-Jorge, D., Jorge-Estévez, M. D., Gutiérrez-Barroso, J., Rosa-</w:t>
      </w:r>
      <w:proofErr w:type="spellStart"/>
      <w:r w:rsidRPr="00E11FE5">
        <w:rPr>
          <w:color w:val="222222"/>
          <w:shd w:val="clear" w:color="auto" w:fill="FFFFFF"/>
        </w:rPr>
        <w:t>Hormiga</w:t>
      </w:r>
      <w:proofErr w:type="spellEnd"/>
      <w:r w:rsidRPr="00E11FE5">
        <w:rPr>
          <w:color w:val="222222"/>
          <w:shd w:val="clear" w:color="auto" w:fill="FFFFFF"/>
        </w:rPr>
        <w:t xml:space="preserve">, M., &amp; </w:t>
      </w:r>
    </w:p>
    <w:p w14:paraId="39C0DFED" w14:textId="168048CC" w:rsidR="00E11FE5" w:rsidRDefault="00E11FE5" w:rsidP="009D4093">
      <w:pPr>
        <w:pStyle w:val="Default"/>
        <w:snapToGrid w:val="0"/>
        <w:spacing w:before="120" w:after="120"/>
        <w:ind w:left="720"/>
        <w:jc w:val="both"/>
        <w:rPr>
          <w:color w:val="222222"/>
          <w:shd w:val="clear" w:color="auto" w:fill="FFFFFF"/>
        </w:rPr>
      </w:pPr>
      <w:r w:rsidRPr="00E11FE5">
        <w:rPr>
          <w:color w:val="222222"/>
          <w:shd w:val="clear" w:color="auto" w:fill="FFFFFF"/>
        </w:rPr>
        <w:lastRenderedPageBreak/>
        <w:t xml:space="preserve">Marrero-Morales, M. S. (2016). Health </w:t>
      </w:r>
      <w:r w:rsidR="0027028D">
        <w:rPr>
          <w:color w:val="222222"/>
          <w:shd w:val="clear" w:color="auto" w:fill="FFFFFF"/>
        </w:rPr>
        <w:t>e</w:t>
      </w:r>
      <w:r w:rsidRPr="00E11FE5">
        <w:rPr>
          <w:color w:val="222222"/>
          <w:shd w:val="clear" w:color="auto" w:fill="FFFFFF"/>
        </w:rPr>
        <w:t xml:space="preserve">ducation for </w:t>
      </w:r>
      <w:r w:rsidR="0027028D">
        <w:rPr>
          <w:color w:val="222222"/>
          <w:shd w:val="clear" w:color="auto" w:fill="FFFFFF"/>
        </w:rPr>
        <w:t>h</w:t>
      </w:r>
      <w:r w:rsidRPr="00E11FE5">
        <w:rPr>
          <w:color w:val="222222"/>
          <w:shd w:val="clear" w:color="auto" w:fill="FFFFFF"/>
        </w:rPr>
        <w:t xml:space="preserve">igh </w:t>
      </w:r>
      <w:r w:rsidR="0027028D">
        <w:rPr>
          <w:color w:val="222222"/>
          <w:shd w:val="clear" w:color="auto" w:fill="FFFFFF"/>
        </w:rPr>
        <w:t>s</w:t>
      </w:r>
      <w:r w:rsidRPr="00E11FE5">
        <w:rPr>
          <w:color w:val="222222"/>
          <w:shd w:val="clear" w:color="auto" w:fill="FFFFFF"/>
        </w:rPr>
        <w:t xml:space="preserve">chool </w:t>
      </w:r>
      <w:r w:rsidR="0027028D">
        <w:rPr>
          <w:color w:val="222222"/>
          <w:shd w:val="clear" w:color="auto" w:fill="FFFFFF"/>
        </w:rPr>
        <w:t>s</w:t>
      </w:r>
      <w:r w:rsidRPr="00E11FE5">
        <w:rPr>
          <w:color w:val="222222"/>
          <w:shd w:val="clear" w:color="auto" w:fill="FFFFFF"/>
        </w:rPr>
        <w:t>tudents in Spain. </w:t>
      </w:r>
      <w:r w:rsidRPr="00E11FE5">
        <w:rPr>
          <w:i/>
          <w:iCs/>
          <w:color w:val="222222"/>
          <w:shd w:val="clear" w:color="auto" w:fill="FFFFFF"/>
        </w:rPr>
        <w:t xml:space="preserve">International </w:t>
      </w:r>
      <w:r w:rsidR="00DB48B7">
        <w:rPr>
          <w:i/>
          <w:iCs/>
          <w:color w:val="222222"/>
          <w:shd w:val="clear" w:color="auto" w:fill="FFFFFF"/>
        </w:rPr>
        <w:t>E</w:t>
      </w:r>
      <w:r w:rsidRPr="00E11FE5">
        <w:rPr>
          <w:i/>
          <w:iCs/>
          <w:color w:val="222222"/>
          <w:shd w:val="clear" w:color="auto" w:fill="FFFFFF"/>
        </w:rPr>
        <w:t xml:space="preserve">ducation </w:t>
      </w:r>
      <w:r w:rsidR="00DB48B7">
        <w:rPr>
          <w:i/>
          <w:iCs/>
          <w:color w:val="222222"/>
          <w:shd w:val="clear" w:color="auto" w:fill="FFFFFF"/>
        </w:rPr>
        <w:t>S</w:t>
      </w:r>
      <w:r w:rsidRPr="00E11FE5">
        <w:rPr>
          <w:i/>
          <w:iCs/>
          <w:color w:val="222222"/>
          <w:shd w:val="clear" w:color="auto" w:fill="FFFFFF"/>
        </w:rPr>
        <w:t>tudies</w:t>
      </w:r>
      <w:r w:rsidRPr="00E11FE5">
        <w:rPr>
          <w:color w:val="222222"/>
          <w:shd w:val="clear" w:color="auto" w:fill="FFFFFF"/>
        </w:rPr>
        <w:t>, </w:t>
      </w:r>
      <w:r w:rsidRPr="00E11FE5">
        <w:rPr>
          <w:i/>
          <w:iCs/>
          <w:color w:val="222222"/>
          <w:shd w:val="clear" w:color="auto" w:fill="FFFFFF"/>
        </w:rPr>
        <w:t>9</w:t>
      </w:r>
      <w:r w:rsidRPr="00E11FE5">
        <w:rPr>
          <w:color w:val="222222"/>
          <w:shd w:val="clear" w:color="auto" w:fill="FFFFFF"/>
        </w:rPr>
        <w:t>(10), 185-201.</w:t>
      </w:r>
      <w:r>
        <w:rPr>
          <w:color w:val="222222"/>
          <w:shd w:val="clear" w:color="auto" w:fill="FFFFFF"/>
        </w:rPr>
        <w:t xml:space="preserve"> </w:t>
      </w:r>
    </w:p>
    <w:p w14:paraId="550837F4" w14:textId="77777777" w:rsidR="00B42B11" w:rsidRDefault="00B42B11" w:rsidP="00B42B11">
      <w:pPr>
        <w:autoSpaceDE w:val="0"/>
        <w:autoSpaceDN w:val="0"/>
        <w:adjustRightInd w:val="0"/>
        <w:spacing w:after="0" w:line="276" w:lineRule="auto"/>
        <w:jc w:val="both"/>
        <w:rPr>
          <w:rFonts w:ascii="Times New Roman" w:hAnsi="Times New Roman" w:cs="Times New Roman"/>
          <w:color w:val="222222"/>
          <w:sz w:val="24"/>
          <w:szCs w:val="24"/>
          <w:shd w:val="clear" w:color="auto" w:fill="FFFFFF"/>
        </w:rPr>
      </w:pPr>
      <w:r w:rsidRPr="00B42B11">
        <w:rPr>
          <w:rFonts w:ascii="Times New Roman" w:hAnsi="Times New Roman" w:cs="Times New Roman"/>
          <w:color w:val="222222"/>
          <w:sz w:val="24"/>
          <w:szCs w:val="24"/>
          <w:shd w:val="clear" w:color="auto" w:fill="FFFFFF"/>
        </w:rPr>
        <w:t xml:space="preserve">Robinson, M. A. (2016). Quantitative research principles and methods for human-focused </w:t>
      </w:r>
    </w:p>
    <w:p w14:paraId="2C3B2E71" w14:textId="2A4FDE19" w:rsidR="00B42B11" w:rsidRPr="00B42B11" w:rsidRDefault="00B42B11" w:rsidP="00B42B11">
      <w:pPr>
        <w:autoSpaceDE w:val="0"/>
        <w:autoSpaceDN w:val="0"/>
        <w:adjustRightInd w:val="0"/>
        <w:spacing w:after="0" w:line="276" w:lineRule="auto"/>
        <w:ind w:left="720"/>
        <w:jc w:val="both"/>
        <w:rPr>
          <w:rFonts w:ascii="Times New Roman" w:hAnsi="Times New Roman" w:cs="Times New Roman"/>
          <w:color w:val="222222"/>
          <w:sz w:val="24"/>
          <w:szCs w:val="24"/>
          <w:shd w:val="clear" w:color="auto" w:fill="FFFFFF"/>
        </w:rPr>
      </w:pPr>
      <w:r w:rsidRPr="00B42B11">
        <w:rPr>
          <w:rFonts w:ascii="Times New Roman" w:hAnsi="Times New Roman" w:cs="Times New Roman"/>
          <w:color w:val="222222"/>
          <w:sz w:val="24"/>
          <w:szCs w:val="24"/>
          <w:shd w:val="clear" w:color="auto" w:fill="FFFFFF"/>
        </w:rPr>
        <w:t>research in engineering design. </w:t>
      </w:r>
      <w:r w:rsidRPr="00B42B11">
        <w:rPr>
          <w:rFonts w:ascii="Times New Roman" w:hAnsi="Times New Roman" w:cs="Times New Roman"/>
          <w:i/>
          <w:iCs/>
          <w:color w:val="222222"/>
          <w:sz w:val="24"/>
          <w:szCs w:val="24"/>
          <w:shd w:val="clear" w:color="auto" w:fill="FFFFFF"/>
        </w:rPr>
        <w:t>Experimental design research: Approaches, perspectives, applications</w:t>
      </w:r>
      <w:r w:rsidRPr="00B42B11">
        <w:rPr>
          <w:rFonts w:ascii="Times New Roman" w:hAnsi="Times New Roman" w:cs="Times New Roman"/>
          <w:color w:val="222222"/>
          <w:sz w:val="24"/>
          <w:szCs w:val="24"/>
          <w:shd w:val="clear" w:color="auto" w:fill="FFFFFF"/>
        </w:rPr>
        <w:t>, 41-64.</w:t>
      </w:r>
    </w:p>
    <w:p w14:paraId="31161636" w14:textId="77777777" w:rsidR="00EB5EDE" w:rsidRDefault="00EB5EDE" w:rsidP="009D4093">
      <w:pPr>
        <w:snapToGrid w:val="0"/>
        <w:spacing w:before="120" w:after="120" w:line="240" w:lineRule="auto"/>
        <w:jc w:val="both"/>
        <w:rPr>
          <w:rFonts w:ascii="Times New Roman" w:hAnsi="Times New Roman" w:cs="Times New Roman"/>
          <w:color w:val="222222"/>
          <w:sz w:val="24"/>
          <w:szCs w:val="24"/>
          <w:shd w:val="clear" w:color="auto" w:fill="FFFFFF"/>
        </w:rPr>
      </w:pPr>
      <w:r w:rsidRPr="00935588">
        <w:rPr>
          <w:rFonts w:ascii="Times New Roman" w:hAnsi="Times New Roman" w:cs="Times New Roman"/>
          <w:color w:val="222222"/>
          <w:sz w:val="24"/>
          <w:szCs w:val="24"/>
          <w:shd w:val="clear" w:color="auto" w:fill="FFFFFF"/>
        </w:rPr>
        <w:t xml:space="preserve">Scott, J. J., Vernon, L., &amp; </w:t>
      </w:r>
      <w:proofErr w:type="spellStart"/>
      <w:r w:rsidRPr="00935588">
        <w:rPr>
          <w:rFonts w:ascii="Times New Roman" w:hAnsi="Times New Roman" w:cs="Times New Roman"/>
          <w:color w:val="222222"/>
          <w:sz w:val="24"/>
          <w:szCs w:val="24"/>
          <w:shd w:val="clear" w:color="auto" w:fill="FFFFFF"/>
        </w:rPr>
        <w:t>Metse</w:t>
      </w:r>
      <w:proofErr w:type="spellEnd"/>
      <w:r w:rsidRPr="00935588">
        <w:rPr>
          <w:rFonts w:ascii="Times New Roman" w:hAnsi="Times New Roman" w:cs="Times New Roman"/>
          <w:color w:val="222222"/>
          <w:sz w:val="24"/>
          <w:szCs w:val="24"/>
          <w:shd w:val="clear" w:color="auto" w:fill="FFFFFF"/>
        </w:rPr>
        <w:t xml:space="preserve">, A. P. (2023). The </w:t>
      </w:r>
      <w:r>
        <w:rPr>
          <w:rFonts w:ascii="Times New Roman" w:hAnsi="Times New Roman" w:cs="Times New Roman"/>
          <w:color w:val="222222"/>
          <w:sz w:val="24"/>
          <w:szCs w:val="24"/>
          <w:shd w:val="clear" w:color="auto" w:fill="FFFFFF"/>
        </w:rPr>
        <w:t>i</w:t>
      </w:r>
      <w:r w:rsidRPr="00935588">
        <w:rPr>
          <w:rFonts w:ascii="Times New Roman" w:hAnsi="Times New Roman" w:cs="Times New Roman"/>
          <w:color w:val="222222"/>
          <w:sz w:val="24"/>
          <w:szCs w:val="24"/>
          <w:shd w:val="clear" w:color="auto" w:fill="FFFFFF"/>
        </w:rPr>
        <w:t xml:space="preserve">nternational </w:t>
      </w:r>
      <w:r>
        <w:rPr>
          <w:rFonts w:ascii="Times New Roman" w:hAnsi="Times New Roman" w:cs="Times New Roman"/>
          <w:color w:val="222222"/>
          <w:sz w:val="24"/>
          <w:szCs w:val="24"/>
          <w:shd w:val="clear" w:color="auto" w:fill="FFFFFF"/>
        </w:rPr>
        <w:t>f</w:t>
      </w:r>
      <w:r w:rsidRPr="00935588">
        <w:rPr>
          <w:rFonts w:ascii="Times New Roman" w:hAnsi="Times New Roman" w:cs="Times New Roman"/>
          <w:color w:val="222222"/>
          <w:sz w:val="24"/>
          <w:szCs w:val="24"/>
          <w:shd w:val="clear" w:color="auto" w:fill="FFFFFF"/>
        </w:rPr>
        <w:t xml:space="preserve">ramework for </w:t>
      </w:r>
      <w:r>
        <w:rPr>
          <w:rFonts w:ascii="Times New Roman" w:hAnsi="Times New Roman" w:cs="Times New Roman"/>
          <w:color w:val="222222"/>
          <w:sz w:val="24"/>
          <w:szCs w:val="24"/>
          <w:shd w:val="clear" w:color="auto" w:fill="FFFFFF"/>
        </w:rPr>
        <w:t>s</w:t>
      </w:r>
      <w:r w:rsidRPr="00935588">
        <w:rPr>
          <w:rFonts w:ascii="Times New Roman" w:hAnsi="Times New Roman" w:cs="Times New Roman"/>
          <w:color w:val="222222"/>
          <w:sz w:val="24"/>
          <w:szCs w:val="24"/>
          <w:shd w:val="clear" w:color="auto" w:fill="FFFFFF"/>
        </w:rPr>
        <w:t xml:space="preserve">chool </w:t>
      </w:r>
      <w:r>
        <w:rPr>
          <w:rFonts w:ascii="Times New Roman" w:hAnsi="Times New Roman" w:cs="Times New Roman"/>
          <w:color w:val="222222"/>
          <w:sz w:val="24"/>
          <w:szCs w:val="24"/>
          <w:shd w:val="clear" w:color="auto" w:fill="FFFFFF"/>
        </w:rPr>
        <w:t>h</w:t>
      </w:r>
      <w:r w:rsidRPr="00935588">
        <w:rPr>
          <w:rFonts w:ascii="Times New Roman" w:hAnsi="Times New Roman" w:cs="Times New Roman"/>
          <w:color w:val="222222"/>
          <w:sz w:val="24"/>
          <w:szCs w:val="24"/>
          <w:shd w:val="clear" w:color="auto" w:fill="FFFFFF"/>
        </w:rPr>
        <w:t xml:space="preserve">ealth </w:t>
      </w:r>
    </w:p>
    <w:p w14:paraId="45ACB374" w14:textId="047FACD5" w:rsidR="00EB5EDE" w:rsidRDefault="00EB5EDE"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w:t>
      </w:r>
      <w:r w:rsidRPr="00935588">
        <w:rPr>
          <w:rFonts w:ascii="Times New Roman" w:hAnsi="Times New Roman" w:cs="Times New Roman"/>
          <w:color w:val="222222"/>
          <w:sz w:val="24"/>
          <w:szCs w:val="24"/>
          <w:shd w:val="clear" w:color="auto" w:fill="FFFFFF"/>
        </w:rPr>
        <w:t xml:space="preserve">romotion: Supporting </w:t>
      </w:r>
      <w:r>
        <w:rPr>
          <w:rFonts w:ascii="Times New Roman" w:hAnsi="Times New Roman" w:cs="Times New Roman"/>
          <w:color w:val="222222"/>
          <w:sz w:val="24"/>
          <w:szCs w:val="24"/>
          <w:shd w:val="clear" w:color="auto" w:fill="FFFFFF"/>
        </w:rPr>
        <w:t>y</w:t>
      </w:r>
      <w:r w:rsidRPr="00935588">
        <w:rPr>
          <w:rFonts w:ascii="Times New Roman" w:hAnsi="Times New Roman" w:cs="Times New Roman"/>
          <w:color w:val="222222"/>
          <w:sz w:val="24"/>
          <w:szCs w:val="24"/>
          <w:shd w:val="clear" w:color="auto" w:fill="FFFFFF"/>
        </w:rPr>
        <w:t xml:space="preserve">oung </w:t>
      </w:r>
      <w:r>
        <w:rPr>
          <w:rFonts w:ascii="Times New Roman" w:hAnsi="Times New Roman" w:cs="Times New Roman"/>
          <w:color w:val="222222"/>
          <w:sz w:val="24"/>
          <w:szCs w:val="24"/>
          <w:shd w:val="clear" w:color="auto" w:fill="FFFFFF"/>
        </w:rPr>
        <w:t>p</w:t>
      </w:r>
      <w:r w:rsidRPr="00935588">
        <w:rPr>
          <w:rFonts w:ascii="Times New Roman" w:hAnsi="Times New Roman" w:cs="Times New Roman"/>
          <w:color w:val="222222"/>
          <w:sz w:val="24"/>
          <w:szCs w:val="24"/>
          <w:shd w:val="clear" w:color="auto" w:fill="FFFFFF"/>
        </w:rPr>
        <w:t xml:space="preserve">eople </w:t>
      </w:r>
      <w:r>
        <w:rPr>
          <w:rFonts w:ascii="Times New Roman" w:hAnsi="Times New Roman" w:cs="Times New Roman"/>
          <w:color w:val="222222"/>
          <w:sz w:val="24"/>
          <w:szCs w:val="24"/>
          <w:shd w:val="clear" w:color="auto" w:fill="FFFFFF"/>
        </w:rPr>
        <w:t>t</w:t>
      </w:r>
      <w:r w:rsidRPr="00935588">
        <w:rPr>
          <w:rFonts w:ascii="Times New Roman" w:hAnsi="Times New Roman" w:cs="Times New Roman"/>
          <w:color w:val="222222"/>
          <w:sz w:val="24"/>
          <w:szCs w:val="24"/>
          <w:shd w:val="clear" w:color="auto" w:fill="FFFFFF"/>
        </w:rPr>
        <w:t xml:space="preserve">hrough and </w:t>
      </w:r>
      <w:r>
        <w:rPr>
          <w:rFonts w:ascii="Times New Roman" w:hAnsi="Times New Roman" w:cs="Times New Roman"/>
          <w:color w:val="222222"/>
          <w:sz w:val="24"/>
          <w:szCs w:val="24"/>
          <w:shd w:val="clear" w:color="auto" w:fill="FFFFFF"/>
        </w:rPr>
        <w:t>a</w:t>
      </w:r>
      <w:r w:rsidRPr="00935588">
        <w:rPr>
          <w:rFonts w:ascii="Times New Roman" w:hAnsi="Times New Roman" w:cs="Times New Roman"/>
          <w:color w:val="222222"/>
          <w:sz w:val="24"/>
          <w:szCs w:val="24"/>
          <w:shd w:val="clear" w:color="auto" w:fill="FFFFFF"/>
        </w:rPr>
        <w:t>fter the COVID‐19 Pandemic. </w:t>
      </w:r>
      <w:r w:rsidRPr="00935588">
        <w:rPr>
          <w:rFonts w:ascii="Times New Roman" w:hAnsi="Times New Roman" w:cs="Times New Roman"/>
          <w:i/>
          <w:iCs/>
          <w:color w:val="222222"/>
          <w:sz w:val="24"/>
          <w:szCs w:val="24"/>
          <w:shd w:val="clear" w:color="auto" w:fill="FFFFFF"/>
        </w:rPr>
        <w:t>Journal of School Health</w:t>
      </w:r>
      <w:r w:rsidRPr="00935588">
        <w:rPr>
          <w:rFonts w:ascii="Times New Roman" w:hAnsi="Times New Roman" w:cs="Times New Roman"/>
          <w:color w:val="222222"/>
          <w:sz w:val="24"/>
          <w:szCs w:val="24"/>
          <w:shd w:val="clear" w:color="auto" w:fill="FFFFFF"/>
        </w:rPr>
        <w:t>, </w:t>
      </w:r>
      <w:r w:rsidRPr="00935588">
        <w:rPr>
          <w:rFonts w:ascii="Times New Roman" w:hAnsi="Times New Roman" w:cs="Times New Roman"/>
          <w:i/>
          <w:iCs/>
          <w:color w:val="222222"/>
          <w:sz w:val="24"/>
          <w:szCs w:val="24"/>
          <w:shd w:val="clear" w:color="auto" w:fill="FFFFFF"/>
        </w:rPr>
        <w:t>93</w:t>
      </w:r>
      <w:r w:rsidRPr="00935588">
        <w:rPr>
          <w:rFonts w:ascii="Times New Roman" w:hAnsi="Times New Roman" w:cs="Times New Roman"/>
          <w:color w:val="222222"/>
          <w:sz w:val="24"/>
          <w:szCs w:val="24"/>
          <w:shd w:val="clear" w:color="auto" w:fill="FFFFFF"/>
        </w:rPr>
        <w:t>(10), 920-929.</w:t>
      </w:r>
    </w:p>
    <w:p w14:paraId="515853BB" w14:textId="77777777" w:rsidR="00424056" w:rsidRDefault="00424056" w:rsidP="00424056">
      <w:pPr>
        <w:spacing w:line="240" w:lineRule="auto"/>
        <w:jc w:val="both"/>
        <w:rPr>
          <w:rFonts w:ascii="Times New Roman" w:hAnsi="Times New Roman" w:cs="Times New Roman"/>
          <w:color w:val="222222"/>
          <w:sz w:val="24"/>
          <w:szCs w:val="24"/>
          <w:shd w:val="clear" w:color="auto" w:fill="FFFFFF"/>
        </w:rPr>
      </w:pPr>
      <w:r w:rsidRPr="007603DA">
        <w:rPr>
          <w:rFonts w:ascii="Times New Roman" w:hAnsi="Times New Roman" w:cs="Times New Roman"/>
          <w:color w:val="222222"/>
          <w:sz w:val="24"/>
          <w:szCs w:val="24"/>
          <w:shd w:val="clear" w:color="auto" w:fill="FFFFFF"/>
        </w:rPr>
        <w:t>Singh, Y. K. (2006). </w:t>
      </w:r>
      <w:r w:rsidRPr="007603DA">
        <w:rPr>
          <w:rFonts w:ascii="Times New Roman" w:hAnsi="Times New Roman" w:cs="Times New Roman"/>
          <w:i/>
          <w:iCs/>
          <w:color w:val="222222"/>
          <w:sz w:val="24"/>
          <w:szCs w:val="24"/>
          <w:shd w:val="clear" w:color="auto" w:fill="FFFFFF"/>
        </w:rPr>
        <w:t>Fundamental of research methodology and statistics</w:t>
      </w:r>
      <w:r w:rsidRPr="007603DA">
        <w:rPr>
          <w:rFonts w:ascii="Times New Roman" w:hAnsi="Times New Roman" w:cs="Times New Roman"/>
          <w:color w:val="222222"/>
          <w:sz w:val="24"/>
          <w:szCs w:val="24"/>
          <w:shd w:val="clear" w:color="auto" w:fill="FFFFFF"/>
        </w:rPr>
        <w:t xml:space="preserve">. New Age </w:t>
      </w:r>
    </w:p>
    <w:p w14:paraId="582C8BE5" w14:textId="166C3C77" w:rsidR="00424056" w:rsidRPr="00424056" w:rsidRDefault="00424056" w:rsidP="00424056">
      <w:pPr>
        <w:spacing w:line="360" w:lineRule="auto"/>
        <w:ind w:firstLine="720"/>
        <w:jc w:val="both"/>
        <w:rPr>
          <w:rFonts w:ascii="Times New Roman" w:hAnsi="Times New Roman" w:cs="Times New Roman"/>
          <w:sz w:val="36"/>
          <w:szCs w:val="36"/>
        </w:rPr>
      </w:pPr>
      <w:r w:rsidRPr="007603DA">
        <w:rPr>
          <w:rFonts w:ascii="Times New Roman" w:hAnsi="Times New Roman" w:cs="Times New Roman"/>
          <w:color w:val="222222"/>
          <w:sz w:val="24"/>
          <w:szCs w:val="24"/>
          <w:shd w:val="clear" w:color="auto" w:fill="FFFFFF"/>
        </w:rPr>
        <w:t>International.</w:t>
      </w:r>
    </w:p>
    <w:p w14:paraId="5A9FBAEA" w14:textId="77777777" w:rsidR="000B02A0" w:rsidRDefault="000B02A0" w:rsidP="009D4093">
      <w:pPr>
        <w:snapToGrid w:val="0"/>
        <w:spacing w:after="120" w:line="240" w:lineRule="auto"/>
        <w:jc w:val="both"/>
        <w:rPr>
          <w:rFonts w:ascii="Times New Roman" w:hAnsi="Times New Roman" w:cs="Times New Roman"/>
          <w:color w:val="222222"/>
          <w:sz w:val="24"/>
          <w:szCs w:val="24"/>
          <w:shd w:val="clear" w:color="auto" w:fill="FFFFFF"/>
        </w:rPr>
      </w:pPr>
      <w:proofErr w:type="spellStart"/>
      <w:r w:rsidRPr="00597600">
        <w:rPr>
          <w:rFonts w:ascii="Times New Roman" w:hAnsi="Times New Roman" w:cs="Times New Roman"/>
          <w:color w:val="222222"/>
          <w:sz w:val="24"/>
          <w:szCs w:val="24"/>
          <w:shd w:val="clear" w:color="auto" w:fill="FFFFFF"/>
        </w:rPr>
        <w:t>Stolp</w:t>
      </w:r>
      <w:proofErr w:type="spellEnd"/>
      <w:r w:rsidRPr="00597600">
        <w:rPr>
          <w:rFonts w:ascii="Times New Roman" w:hAnsi="Times New Roman" w:cs="Times New Roman"/>
          <w:color w:val="222222"/>
          <w:sz w:val="24"/>
          <w:szCs w:val="24"/>
          <w:shd w:val="clear" w:color="auto" w:fill="FFFFFF"/>
        </w:rPr>
        <w:t xml:space="preserve">, S., Wilkins, E., &amp; Raine, K. D. (2015). Developing and sustaining a healthy school </w:t>
      </w:r>
    </w:p>
    <w:p w14:paraId="6418F0A8" w14:textId="0D92FA79" w:rsidR="000B02A0" w:rsidRPr="000B02A0" w:rsidRDefault="000B02A0" w:rsidP="009D4093">
      <w:pPr>
        <w:snapToGrid w:val="0"/>
        <w:spacing w:after="120" w:line="240" w:lineRule="auto"/>
        <w:ind w:left="720"/>
        <w:jc w:val="both"/>
        <w:rPr>
          <w:rFonts w:ascii="Times New Roman" w:hAnsi="Times New Roman" w:cs="Times New Roman"/>
          <w:sz w:val="36"/>
          <w:szCs w:val="36"/>
        </w:rPr>
      </w:pPr>
      <w:r w:rsidRPr="00597600">
        <w:rPr>
          <w:rFonts w:ascii="Times New Roman" w:hAnsi="Times New Roman" w:cs="Times New Roman"/>
          <w:color w:val="222222"/>
          <w:sz w:val="24"/>
          <w:szCs w:val="24"/>
          <w:shd w:val="clear" w:color="auto" w:fill="FFFFFF"/>
        </w:rPr>
        <w:t>community: Essential elements identified by school health champions. </w:t>
      </w:r>
      <w:r w:rsidRPr="00597600">
        <w:rPr>
          <w:rFonts w:ascii="Times New Roman" w:hAnsi="Times New Roman" w:cs="Times New Roman"/>
          <w:i/>
          <w:iCs/>
          <w:color w:val="222222"/>
          <w:sz w:val="24"/>
          <w:szCs w:val="24"/>
          <w:shd w:val="clear" w:color="auto" w:fill="FFFFFF"/>
        </w:rPr>
        <w:t>Health Education Journal</w:t>
      </w:r>
      <w:r w:rsidRPr="00597600">
        <w:rPr>
          <w:rFonts w:ascii="Times New Roman" w:hAnsi="Times New Roman" w:cs="Times New Roman"/>
          <w:color w:val="222222"/>
          <w:sz w:val="24"/>
          <w:szCs w:val="24"/>
          <w:shd w:val="clear" w:color="auto" w:fill="FFFFFF"/>
        </w:rPr>
        <w:t>, </w:t>
      </w:r>
      <w:r w:rsidRPr="00597600">
        <w:rPr>
          <w:rFonts w:ascii="Times New Roman" w:hAnsi="Times New Roman" w:cs="Times New Roman"/>
          <w:i/>
          <w:iCs/>
          <w:color w:val="222222"/>
          <w:sz w:val="24"/>
          <w:szCs w:val="24"/>
          <w:shd w:val="clear" w:color="auto" w:fill="FFFFFF"/>
        </w:rPr>
        <w:t>74</w:t>
      </w:r>
      <w:r w:rsidRPr="00597600">
        <w:rPr>
          <w:rFonts w:ascii="Times New Roman" w:hAnsi="Times New Roman" w:cs="Times New Roman"/>
          <w:color w:val="222222"/>
          <w:sz w:val="24"/>
          <w:szCs w:val="24"/>
          <w:shd w:val="clear" w:color="auto" w:fill="FFFFFF"/>
        </w:rPr>
        <w:t>(3), 299-311.</w:t>
      </w:r>
    </w:p>
    <w:p w14:paraId="54BD6B98" w14:textId="77777777" w:rsidR="002F6950" w:rsidRDefault="002F6950" w:rsidP="009D4093">
      <w:pPr>
        <w:snapToGrid w:val="0"/>
        <w:spacing w:after="12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Sukarmin, &amp; </w:t>
      </w:r>
      <w:r w:rsidRPr="002F6950">
        <w:rPr>
          <w:rFonts w:ascii="Times New Roman" w:hAnsi="Times New Roman" w:cs="Times New Roman"/>
          <w:color w:val="222222"/>
          <w:sz w:val="24"/>
          <w:szCs w:val="24"/>
          <w:shd w:val="clear" w:color="auto" w:fill="FFFFFF"/>
        </w:rPr>
        <w:t xml:space="preserve">Sin, I. (2021). School </w:t>
      </w:r>
      <w:r>
        <w:rPr>
          <w:rFonts w:ascii="Times New Roman" w:hAnsi="Times New Roman" w:cs="Times New Roman"/>
          <w:color w:val="222222"/>
          <w:sz w:val="24"/>
          <w:szCs w:val="24"/>
          <w:shd w:val="clear" w:color="auto" w:fill="FFFFFF"/>
        </w:rPr>
        <w:t>h</w:t>
      </w:r>
      <w:r w:rsidRPr="002F6950">
        <w:rPr>
          <w:rFonts w:ascii="Times New Roman" w:hAnsi="Times New Roman" w:cs="Times New Roman"/>
          <w:color w:val="222222"/>
          <w:sz w:val="24"/>
          <w:szCs w:val="24"/>
          <w:shd w:val="clear" w:color="auto" w:fill="FFFFFF"/>
        </w:rPr>
        <w:t xml:space="preserve">ealth as the </w:t>
      </w:r>
      <w:r>
        <w:rPr>
          <w:rFonts w:ascii="Times New Roman" w:hAnsi="Times New Roman" w:cs="Times New Roman"/>
          <w:color w:val="222222"/>
          <w:sz w:val="24"/>
          <w:szCs w:val="24"/>
          <w:shd w:val="clear" w:color="auto" w:fill="FFFFFF"/>
        </w:rPr>
        <w:t>m</w:t>
      </w:r>
      <w:r w:rsidRPr="002F6950">
        <w:rPr>
          <w:rFonts w:ascii="Times New Roman" w:hAnsi="Times New Roman" w:cs="Times New Roman"/>
          <w:color w:val="222222"/>
          <w:sz w:val="24"/>
          <w:szCs w:val="24"/>
          <w:shd w:val="clear" w:color="auto" w:fill="FFFFFF"/>
        </w:rPr>
        <w:t xml:space="preserve">ediator </w:t>
      </w:r>
      <w:r>
        <w:rPr>
          <w:rFonts w:ascii="Times New Roman" w:hAnsi="Times New Roman" w:cs="Times New Roman"/>
          <w:color w:val="222222"/>
          <w:sz w:val="24"/>
          <w:szCs w:val="24"/>
          <w:shd w:val="clear" w:color="auto" w:fill="FFFFFF"/>
        </w:rPr>
        <w:t>v</w:t>
      </w:r>
      <w:r w:rsidRPr="002F6950">
        <w:rPr>
          <w:rFonts w:ascii="Times New Roman" w:hAnsi="Times New Roman" w:cs="Times New Roman"/>
          <w:color w:val="222222"/>
          <w:sz w:val="24"/>
          <w:szCs w:val="24"/>
          <w:shd w:val="clear" w:color="auto" w:fill="FFFFFF"/>
        </w:rPr>
        <w:t xml:space="preserve">ariable: Determinants of the </w:t>
      </w:r>
    </w:p>
    <w:p w14:paraId="60565862" w14:textId="11FA91F0" w:rsidR="002F6950" w:rsidRPr="00EB5EDE" w:rsidRDefault="002F6950" w:rsidP="009D4093">
      <w:pPr>
        <w:snapToGrid w:val="0"/>
        <w:spacing w:after="120" w:line="240" w:lineRule="auto"/>
        <w:ind w:left="720"/>
        <w:rPr>
          <w:rFonts w:ascii="Times New Roman" w:hAnsi="Times New Roman" w:cs="Times New Roman"/>
          <w:sz w:val="36"/>
          <w:szCs w:val="36"/>
        </w:rPr>
      </w:pPr>
      <w:r>
        <w:rPr>
          <w:rFonts w:ascii="Times New Roman" w:hAnsi="Times New Roman" w:cs="Times New Roman"/>
          <w:color w:val="222222"/>
          <w:sz w:val="24"/>
          <w:szCs w:val="24"/>
          <w:shd w:val="clear" w:color="auto" w:fill="FFFFFF"/>
        </w:rPr>
        <w:t>p</w:t>
      </w:r>
      <w:r w:rsidRPr="002F6950">
        <w:rPr>
          <w:rFonts w:ascii="Times New Roman" w:hAnsi="Times New Roman" w:cs="Times New Roman"/>
          <w:color w:val="222222"/>
          <w:sz w:val="24"/>
          <w:szCs w:val="24"/>
          <w:shd w:val="clear" w:color="auto" w:fill="FFFFFF"/>
        </w:rPr>
        <w:t xml:space="preserve">rincipal </w:t>
      </w:r>
      <w:r>
        <w:rPr>
          <w:rFonts w:ascii="Times New Roman" w:hAnsi="Times New Roman" w:cs="Times New Roman"/>
          <w:color w:val="222222"/>
          <w:sz w:val="24"/>
          <w:szCs w:val="24"/>
          <w:shd w:val="clear" w:color="auto" w:fill="FFFFFF"/>
        </w:rPr>
        <w:t>i</w:t>
      </w:r>
      <w:r w:rsidRPr="002F6950">
        <w:rPr>
          <w:rFonts w:ascii="Times New Roman" w:hAnsi="Times New Roman" w:cs="Times New Roman"/>
          <w:color w:val="222222"/>
          <w:sz w:val="24"/>
          <w:szCs w:val="24"/>
          <w:shd w:val="clear" w:color="auto" w:fill="FFFFFF"/>
        </w:rPr>
        <w:t xml:space="preserve">nstructional </w:t>
      </w:r>
      <w:r>
        <w:rPr>
          <w:rFonts w:ascii="Times New Roman" w:hAnsi="Times New Roman" w:cs="Times New Roman"/>
          <w:color w:val="222222"/>
          <w:sz w:val="24"/>
          <w:szCs w:val="24"/>
          <w:shd w:val="clear" w:color="auto" w:fill="FFFFFF"/>
        </w:rPr>
        <w:t>l</w:t>
      </w:r>
      <w:r w:rsidRPr="002F6950">
        <w:rPr>
          <w:rFonts w:ascii="Times New Roman" w:hAnsi="Times New Roman" w:cs="Times New Roman"/>
          <w:color w:val="222222"/>
          <w:sz w:val="24"/>
          <w:szCs w:val="24"/>
          <w:shd w:val="clear" w:color="auto" w:fill="FFFFFF"/>
        </w:rPr>
        <w:t xml:space="preserve">eadership </w:t>
      </w:r>
      <w:r>
        <w:rPr>
          <w:rFonts w:ascii="Times New Roman" w:hAnsi="Times New Roman" w:cs="Times New Roman"/>
          <w:color w:val="222222"/>
          <w:sz w:val="24"/>
          <w:szCs w:val="24"/>
          <w:shd w:val="clear" w:color="auto" w:fill="FFFFFF"/>
        </w:rPr>
        <w:t>b</w:t>
      </w:r>
      <w:r w:rsidRPr="002F6950">
        <w:rPr>
          <w:rFonts w:ascii="Times New Roman" w:hAnsi="Times New Roman" w:cs="Times New Roman"/>
          <w:color w:val="222222"/>
          <w:sz w:val="24"/>
          <w:szCs w:val="24"/>
          <w:shd w:val="clear" w:color="auto" w:fill="FFFFFF"/>
        </w:rPr>
        <w:t>ehavior. </w:t>
      </w:r>
      <w:r w:rsidRPr="002F6950">
        <w:rPr>
          <w:rFonts w:ascii="Times New Roman" w:hAnsi="Times New Roman" w:cs="Times New Roman"/>
          <w:i/>
          <w:iCs/>
          <w:color w:val="222222"/>
          <w:sz w:val="24"/>
          <w:szCs w:val="24"/>
          <w:shd w:val="clear" w:color="auto" w:fill="FFFFFF"/>
        </w:rPr>
        <w:t>European Journal of Educational Research</w:t>
      </w:r>
      <w:r w:rsidRPr="002F6950">
        <w:rPr>
          <w:rFonts w:ascii="Times New Roman" w:hAnsi="Times New Roman" w:cs="Times New Roman"/>
          <w:color w:val="222222"/>
          <w:sz w:val="24"/>
          <w:szCs w:val="24"/>
          <w:shd w:val="clear" w:color="auto" w:fill="FFFFFF"/>
        </w:rPr>
        <w:t>, </w:t>
      </w:r>
      <w:r w:rsidRPr="002F6950">
        <w:rPr>
          <w:rFonts w:ascii="Times New Roman" w:hAnsi="Times New Roman" w:cs="Times New Roman"/>
          <w:i/>
          <w:iCs/>
          <w:color w:val="222222"/>
          <w:sz w:val="24"/>
          <w:szCs w:val="24"/>
          <w:shd w:val="clear" w:color="auto" w:fill="FFFFFF"/>
        </w:rPr>
        <w:t>10</w:t>
      </w:r>
      <w:r w:rsidRPr="002F6950">
        <w:rPr>
          <w:rFonts w:ascii="Times New Roman" w:hAnsi="Times New Roman" w:cs="Times New Roman"/>
          <w:color w:val="222222"/>
          <w:sz w:val="24"/>
          <w:szCs w:val="24"/>
          <w:shd w:val="clear" w:color="auto" w:fill="FFFFFF"/>
        </w:rPr>
        <w:t>(3), 1275-1286.</w:t>
      </w:r>
      <w:r>
        <w:rPr>
          <w:rFonts w:ascii="Times New Roman" w:hAnsi="Times New Roman" w:cs="Times New Roman"/>
          <w:color w:val="222222"/>
          <w:sz w:val="24"/>
          <w:szCs w:val="24"/>
          <w:shd w:val="clear" w:color="auto" w:fill="FFFFFF"/>
        </w:rPr>
        <w:t xml:space="preserve"> </w:t>
      </w:r>
    </w:p>
    <w:p w14:paraId="04F36472" w14:textId="5BB0A2D0" w:rsidR="0029126F" w:rsidRDefault="0029126F" w:rsidP="009D4093">
      <w:pPr>
        <w:snapToGrid w:val="0"/>
        <w:spacing w:before="120" w:after="120" w:line="240" w:lineRule="auto"/>
        <w:jc w:val="both"/>
        <w:rPr>
          <w:rFonts w:ascii="Times New Roman" w:hAnsi="Times New Roman" w:cs="Times New Roman"/>
          <w:sz w:val="24"/>
          <w:szCs w:val="24"/>
        </w:rPr>
      </w:pPr>
      <w:proofErr w:type="spellStart"/>
      <w:r w:rsidRPr="00BE2830">
        <w:rPr>
          <w:rFonts w:ascii="Times New Roman" w:hAnsi="Times New Roman" w:cs="Times New Roman"/>
          <w:sz w:val="24"/>
          <w:szCs w:val="24"/>
        </w:rPr>
        <w:t>Supena</w:t>
      </w:r>
      <w:proofErr w:type="spellEnd"/>
      <w:r w:rsidRPr="00BE2830">
        <w:rPr>
          <w:rFonts w:ascii="Times New Roman" w:hAnsi="Times New Roman" w:cs="Times New Roman"/>
          <w:sz w:val="24"/>
          <w:szCs w:val="24"/>
        </w:rPr>
        <w:t xml:space="preserve">, I., </w:t>
      </w:r>
      <w:proofErr w:type="spellStart"/>
      <w:r w:rsidRPr="00BE2830">
        <w:rPr>
          <w:rFonts w:ascii="Times New Roman" w:hAnsi="Times New Roman" w:cs="Times New Roman"/>
          <w:sz w:val="24"/>
          <w:szCs w:val="24"/>
        </w:rPr>
        <w:t>Darmuki</w:t>
      </w:r>
      <w:proofErr w:type="spellEnd"/>
      <w:r w:rsidRPr="00BE2830">
        <w:rPr>
          <w:rFonts w:ascii="Times New Roman" w:hAnsi="Times New Roman" w:cs="Times New Roman"/>
          <w:sz w:val="24"/>
          <w:szCs w:val="24"/>
        </w:rPr>
        <w:t xml:space="preserve">, A., &amp; </w:t>
      </w:r>
      <w:proofErr w:type="spellStart"/>
      <w:r w:rsidRPr="00BE2830">
        <w:rPr>
          <w:rFonts w:ascii="Times New Roman" w:hAnsi="Times New Roman" w:cs="Times New Roman"/>
          <w:sz w:val="24"/>
          <w:szCs w:val="24"/>
        </w:rPr>
        <w:t>Hariyadi</w:t>
      </w:r>
      <w:proofErr w:type="spellEnd"/>
      <w:r w:rsidRPr="00BE2830">
        <w:rPr>
          <w:rFonts w:ascii="Times New Roman" w:hAnsi="Times New Roman" w:cs="Times New Roman"/>
          <w:sz w:val="24"/>
          <w:szCs w:val="24"/>
        </w:rPr>
        <w:t xml:space="preserve">, A. (2021). The </w:t>
      </w:r>
      <w:r w:rsidR="00373851">
        <w:rPr>
          <w:rFonts w:ascii="Times New Roman" w:hAnsi="Times New Roman" w:cs="Times New Roman"/>
          <w:sz w:val="24"/>
          <w:szCs w:val="24"/>
        </w:rPr>
        <w:t>i</w:t>
      </w:r>
      <w:r w:rsidRPr="00BE2830">
        <w:rPr>
          <w:rFonts w:ascii="Times New Roman" w:hAnsi="Times New Roman" w:cs="Times New Roman"/>
          <w:sz w:val="24"/>
          <w:szCs w:val="24"/>
        </w:rPr>
        <w:t>nfluence of 4C (</w:t>
      </w:r>
      <w:r w:rsidR="00373851">
        <w:rPr>
          <w:rFonts w:ascii="Times New Roman" w:hAnsi="Times New Roman" w:cs="Times New Roman"/>
          <w:sz w:val="24"/>
          <w:szCs w:val="24"/>
        </w:rPr>
        <w:t>c</w:t>
      </w:r>
      <w:r w:rsidRPr="00BE2830">
        <w:rPr>
          <w:rFonts w:ascii="Times New Roman" w:hAnsi="Times New Roman" w:cs="Times New Roman"/>
          <w:sz w:val="24"/>
          <w:szCs w:val="24"/>
        </w:rPr>
        <w:t xml:space="preserve">onstructive, </w:t>
      </w:r>
      <w:r w:rsidR="00373851">
        <w:rPr>
          <w:rFonts w:ascii="Times New Roman" w:hAnsi="Times New Roman" w:cs="Times New Roman"/>
          <w:sz w:val="24"/>
          <w:szCs w:val="24"/>
        </w:rPr>
        <w:t>c</w:t>
      </w:r>
      <w:r w:rsidRPr="00BE2830">
        <w:rPr>
          <w:rFonts w:ascii="Times New Roman" w:hAnsi="Times New Roman" w:cs="Times New Roman"/>
          <w:sz w:val="24"/>
          <w:szCs w:val="24"/>
        </w:rPr>
        <w:t xml:space="preserve">ritical, </w:t>
      </w:r>
    </w:p>
    <w:p w14:paraId="01CC6195" w14:textId="4B115CA0" w:rsidR="0029126F" w:rsidRPr="0029126F" w:rsidRDefault="00373851" w:rsidP="009D4093">
      <w:pPr>
        <w:snapToGrid w:val="0"/>
        <w:spacing w:before="120" w:after="120" w:line="240" w:lineRule="auto"/>
        <w:ind w:left="720"/>
        <w:jc w:val="both"/>
        <w:rPr>
          <w:rFonts w:ascii="Times New Roman" w:hAnsi="Times New Roman" w:cs="Times New Roman"/>
          <w:sz w:val="28"/>
          <w:szCs w:val="28"/>
        </w:rPr>
      </w:pPr>
      <w:r>
        <w:rPr>
          <w:rFonts w:ascii="Times New Roman" w:hAnsi="Times New Roman" w:cs="Times New Roman"/>
          <w:sz w:val="24"/>
          <w:szCs w:val="24"/>
        </w:rPr>
        <w:t>c</w:t>
      </w:r>
      <w:r w:rsidR="0029126F" w:rsidRPr="00BE2830">
        <w:rPr>
          <w:rFonts w:ascii="Times New Roman" w:hAnsi="Times New Roman" w:cs="Times New Roman"/>
          <w:sz w:val="24"/>
          <w:szCs w:val="24"/>
        </w:rPr>
        <w:t xml:space="preserve">reativity, </w:t>
      </w:r>
      <w:r>
        <w:rPr>
          <w:rFonts w:ascii="Times New Roman" w:hAnsi="Times New Roman" w:cs="Times New Roman"/>
          <w:sz w:val="24"/>
          <w:szCs w:val="24"/>
        </w:rPr>
        <w:t>c</w:t>
      </w:r>
      <w:r w:rsidR="0029126F" w:rsidRPr="00BE2830">
        <w:rPr>
          <w:rFonts w:ascii="Times New Roman" w:hAnsi="Times New Roman" w:cs="Times New Roman"/>
          <w:sz w:val="24"/>
          <w:szCs w:val="24"/>
        </w:rPr>
        <w:t xml:space="preserve">ollaborative) </w:t>
      </w:r>
      <w:r>
        <w:rPr>
          <w:rFonts w:ascii="Times New Roman" w:hAnsi="Times New Roman" w:cs="Times New Roman"/>
          <w:sz w:val="24"/>
          <w:szCs w:val="24"/>
        </w:rPr>
        <w:t>l</w:t>
      </w:r>
      <w:r w:rsidR="0029126F" w:rsidRPr="00BE2830">
        <w:rPr>
          <w:rFonts w:ascii="Times New Roman" w:hAnsi="Times New Roman" w:cs="Times New Roman"/>
          <w:sz w:val="24"/>
          <w:szCs w:val="24"/>
        </w:rPr>
        <w:t xml:space="preserve">earning </w:t>
      </w:r>
      <w:r>
        <w:rPr>
          <w:rFonts w:ascii="Times New Roman" w:hAnsi="Times New Roman" w:cs="Times New Roman"/>
          <w:sz w:val="24"/>
          <w:szCs w:val="24"/>
        </w:rPr>
        <w:t>m</w:t>
      </w:r>
      <w:r w:rsidR="0029126F" w:rsidRPr="00BE2830">
        <w:rPr>
          <w:rFonts w:ascii="Times New Roman" w:hAnsi="Times New Roman" w:cs="Times New Roman"/>
          <w:sz w:val="24"/>
          <w:szCs w:val="24"/>
        </w:rPr>
        <w:t xml:space="preserve">odel on </w:t>
      </w:r>
      <w:r>
        <w:rPr>
          <w:rFonts w:ascii="Times New Roman" w:hAnsi="Times New Roman" w:cs="Times New Roman"/>
          <w:sz w:val="24"/>
          <w:szCs w:val="24"/>
        </w:rPr>
        <w:t>s</w:t>
      </w:r>
      <w:r w:rsidR="0029126F" w:rsidRPr="00BE2830">
        <w:rPr>
          <w:rFonts w:ascii="Times New Roman" w:hAnsi="Times New Roman" w:cs="Times New Roman"/>
          <w:sz w:val="24"/>
          <w:szCs w:val="24"/>
        </w:rPr>
        <w:t xml:space="preserve">tudents’ </w:t>
      </w:r>
      <w:r>
        <w:rPr>
          <w:rFonts w:ascii="Times New Roman" w:hAnsi="Times New Roman" w:cs="Times New Roman"/>
          <w:sz w:val="24"/>
          <w:szCs w:val="24"/>
        </w:rPr>
        <w:t>l</w:t>
      </w:r>
      <w:r w:rsidR="0029126F" w:rsidRPr="00BE2830">
        <w:rPr>
          <w:rFonts w:ascii="Times New Roman" w:hAnsi="Times New Roman" w:cs="Times New Roman"/>
          <w:sz w:val="24"/>
          <w:szCs w:val="24"/>
        </w:rPr>
        <w:t xml:space="preserve">earning </w:t>
      </w:r>
      <w:r>
        <w:rPr>
          <w:rFonts w:ascii="Times New Roman" w:hAnsi="Times New Roman" w:cs="Times New Roman"/>
          <w:sz w:val="24"/>
          <w:szCs w:val="24"/>
        </w:rPr>
        <w:t>o</w:t>
      </w:r>
      <w:r w:rsidR="0029126F" w:rsidRPr="00BE2830">
        <w:rPr>
          <w:rFonts w:ascii="Times New Roman" w:hAnsi="Times New Roman" w:cs="Times New Roman"/>
          <w:sz w:val="24"/>
          <w:szCs w:val="24"/>
        </w:rPr>
        <w:t xml:space="preserve">utcomes. </w:t>
      </w:r>
      <w:r w:rsidR="0029126F" w:rsidRPr="0029126F">
        <w:rPr>
          <w:rFonts w:ascii="Times New Roman" w:hAnsi="Times New Roman" w:cs="Times New Roman"/>
          <w:i/>
          <w:iCs/>
          <w:sz w:val="24"/>
          <w:szCs w:val="24"/>
        </w:rPr>
        <w:t>International Journal of Instruction, 14</w:t>
      </w:r>
      <w:r w:rsidR="0029126F" w:rsidRPr="00BE2830">
        <w:rPr>
          <w:rFonts w:ascii="Times New Roman" w:hAnsi="Times New Roman" w:cs="Times New Roman"/>
          <w:sz w:val="24"/>
          <w:szCs w:val="24"/>
        </w:rPr>
        <w:t>(3), 873-892. https://doi.org/10.29333/iji.2021.14351a</w:t>
      </w:r>
    </w:p>
    <w:p w14:paraId="67421E2A" w14:textId="2ADB4A5F" w:rsidR="0063391E" w:rsidRPr="0063391E" w:rsidRDefault="0063391E" w:rsidP="009D4093">
      <w:pPr>
        <w:pStyle w:val="Default"/>
        <w:snapToGrid w:val="0"/>
        <w:spacing w:before="120" w:after="120"/>
        <w:jc w:val="both"/>
      </w:pPr>
      <w:proofErr w:type="spellStart"/>
      <w:r w:rsidRPr="0063391E">
        <w:rPr>
          <w:color w:val="212121"/>
        </w:rPr>
        <w:t>Tavakoli</w:t>
      </w:r>
      <w:proofErr w:type="spellEnd"/>
      <w:r w:rsidRPr="0063391E">
        <w:rPr>
          <w:color w:val="212121"/>
        </w:rPr>
        <w:t xml:space="preserve">, H. (2012). </w:t>
      </w:r>
      <w:r w:rsidRPr="0063391E">
        <w:rPr>
          <w:i/>
          <w:iCs/>
          <w:color w:val="212121"/>
        </w:rPr>
        <w:t>A dictionary of research methodology and statistics in applied linguistics</w:t>
      </w:r>
      <w:r w:rsidRPr="0063391E">
        <w:rPr>
          <w:color w:val="212121"/>
        </w:rPr>
        <w:t xml:space="preserve">. </w:t>
      </w:r>
    </w:p>
    <w:p w14:paraId="14DE7D09" w14:textId="55ED2B08" w:rsidR="005F3598" w:rsidRDefault="0063391E" w:rsidP="009D4093">
      <w:pPr>
        <w:snapToGrid w:val="0"/>
        <w:spacing w:before="120" w:after="120" w:line="240" w:lineRule="auto"/>
        <w:ind w:firstLine="720"/>
        <w:jc w:val="both"/>
        <w:rPr>
          <w:rFonts w:ascii="Times New Roman" w:hAnsi="Times New Roman" w:cs="Times New Roman"/>
          <w:color w:val="212121"/>
          <w:sz w:val="24"/>
          <w:szCs w:val="24"/>
        </w:rPr>
      </w:pPr>
      <w:proofErr w:type="spellStart"/>
      <w:r w:rsidRPr="0063391E">
        <w:rPr>
          <w:rFonts w:ascii="Times New Roman" w:hAnsi="Times New Roman" w:cs="Times New Roman"/>
          <w:color w:val="212121"/>
          <w:sz w:val="24"/>
          <w:szCs w:val="24"/>
        </w:rPr>
        <w:t>Rahnama</w:t>
      </w:r>
      <w:proofErr w:type="spellEnd"/>
      <w:r w:rsidRPr="0063391E">
        <w:rPr>
          <w:rFonts w:ascii="Times New Roman" w:hAnsi="Times New Roman" w:cs="Times New Roman"/>
          <w:color w:val="212121"/>
          <w:sz w:val="24"/>
          <w:szCs w:val="24"/>
        </w:rPr>
        <w:t xml:space="preserve"> </w:t>
      </w:r>
      <w:r w:rsidR="00C67FE2">
        <w:rPr>
          <w:rFonts w:ascii="Times New Roman" w:hAnsi="Times New Roman" w:cs="Times New Roman"/>
          <w:color w:val="212121"/>
          <w:sz w:val="24"/>
          <w:szCs w:val="24"/>
        </w:rPr>
        <w:t>P</w:t>
      </w:r>
      <w:r w:rsidRPr="0063391E">
        <w:rPr>
          <w:rFonts w:ascii="Times New Roman" w:hAnsi="Times New Roman" w:cs="Times New Roman"/>
          <w:color w:val="212121"/>
          <w:sz w:val="24"/>
          <w:szCs w:val="24"/>
        </w:rPr>
        <w:t>ress.</w:t>
      </w:r>
      <w:r w:rsidR="0027028D">
        <w:rPr>
          <w:rFonts w:ascii="Times New Roman" w:hAnsi="Times New Roman" w:cs="Times New Roman"/>
          <w:color w:val="212121"/>
          <w:sz w:val="24"/>
          <w:szCs w:val="24"/>
        </w:rPr>
        <w:t xml:space="preserve"> </w:t>
      </w:r>
    </w:p>
    <w:p w14:paraId="6C13E456" w14:textId="77777777" w:rsidR="00A03057" w:rsidRDefault="00A03057" w:rsidP="009D4093">
      <w:pPr>
        <w:snapToGrid w:val="0"/>
        <w:spacing w:before="120" w:after="120" w:line="240" w:lineRule="auto"/>
        <w:jc w:val="both"/>
        <w:rPr>
          <w:rFonts w:ascii="Times New Roman" w:hAnsi="Times New Roman" w:cs="Times New Roman"/>
          <w:color w:val="222222"/>
          <w:sz w:val="24"/>
          <w:szCs w:val="24"/>
          <w:shd w:val="clear" w:color="auto" w:fill="FFFFFF"/>
        </w:rPr>
      </w:pPr>
      <w:proofErr w:type="spellStart"/>
      <w:r w:rsidRPr="00FD4B41">
        <w:rPr>
          <w:rFonts w:ascii="Times New Roman" w:hAnsi="Times New Roman" w:cs="Times New Roman"/>
          <w:color w:val="222222"/>
          <w:sz w:val="24"/>
          <w:szCs w:val="24"/>
          <w:shd w:val="clear" w:color="auto" w:fill="FFFFFF"/>
        </w:rPr>
        <w:t>Toftum</w:t>
      </w:r>
      <w:proofErr w:type="spellEnd"/>
      <w:r w:rsidRPr="00FD4B41">
        <w:rPr>
          <w:rFonts w:ascii="Times New Roman" w:hAnsi="Times New Roman" w:cs="Times New Roman"/>
          <w:color w:val="222222"/>
          <w:sz w:val="24"/>
          <w:szCs w:val="24"/>
          <w:shd w:val="clear" w:color="auto" w:fill="FFFFFF"/>
        </w:rPr>
        <w:t xml:space="preserve">, J., Kjeldsen, B. U., </w:t>
      </w:r>
      <w:proofErr w:type="spellStart"/>
      <w:r w:rsidRPr="00FD4B41">
        <w:rPr>
          <w:rFonts w:ascii="Times New Roman" w:hAnsi="Times New Roman" w:cs="Times New Roman"/>
          <w:color w:val="222222"/>
          <w:sz w:val="24"/>
          <w:szCs w:val="24"/>
          <w:shd w:val="clear" w:color="auto" w:fill="FFFFFF"/>
        </w:rPr>
        <w:t>Wargocki</w:t>
      </w:r>
      <w:proofErr w:type="spellEnd"/>
      <w:r w:rsidRPr="00FD4B41">
        <w:rPr>
          <w:rFonts w:ascii="Times New Roman" w:hAnsi="Times New Roman" w:cs="Times New Roman"/>
          <w:color w:val="222222"/>
          <w:sz w:val="24"/>
          <w:szCs w:val="24"/>
          <w:shd w:val="clear" w:color="auto" w:fill="FFFFFF"/>
        </w:rPr>
        <w:t xml:space="preserve">, P., </w:t>
      </w:r>
      <w:proofErr w:type="spellStart"/>
      <w:r w:rsidRPr="00FD4B41">
        <w:rPr>
          <w:rFonts w:ascii="Times New Roman" w:hAnsi="Times New Roman" w:cs="Times New Roman"/>
          <w:color w:val="222222"/>
          <w:sz w:val="24"/>
          <w:szCs w:val="24"/>
          <w:shd w:val="clear" w:color="auto" w:fill="FFFFFF"/>
        </w:rPr>
        <w:t>Menå</w:t>
      </w:r>
      <w:proofErr w:type="spellEnd"/>
      <w:r w:rsidRPr="00FD4B41">
        <w:rPr>
          <w:rFonts w:ascii="Times New Roman" w:hAnsi="Times New Roman" w:cs="Times New Roman"/>
          <w:color w:val="222222"/>
          <w:sz w:val="24"/>
          <w:szCs w:val="24"/>
          <w:shd w:val="clear" w:color="auto" w:fill="FFFFFF"/>
        </w:rPr>
        <w:t xml:space="preserve">, H. R., Hansen, E. M., &amp; Clausen, G. (2015). </w:t>
      </w:r>
    </w:p>
    <w:p w14:paraId="2AA54473" w14:textId="3073F893" w:rsidR="00A03057" w:rsidRPr="00A03057" w:rsidRDefault="00A03057"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FD4B41">
        <w:rPr>
          <w:rFonts w:ascii="Times New Roman" w:hAnsi="Times New Roman" w:cs="Times New Roman"/>
          <w:color w:val="222222"/>
          <w:sz w:val="24"/>
          <w:szCs w:val="24"/>
          <w:shd w:val="clear" w:color="auto" w:fill="FFFFFF"/>
        </w:rPr>
        <w:t>Association between classroom ventilation mode and learning outcome in Danish schools. </w:t>
      </w:r>
      <w:r w:rsidRPr="00FD4B41">
        <w:rPr>
          <w:rFonts w:ascii="Times New Roman" w:hAnsi="Times New Roman" w:cs="Times New Roman"/>
          <w:i/>
          <w:iCs/>
          <w:color w:val="222222"/>
          <w:sz w:val="24"/>
          <w:szCs w:val="24"/>
          <w:shd w:val="clear" w:color="auto" w:fill="FFFFFF"/>
        </w:rPr>
        <w:t>Building and Environment</w:t>
      </w:r>
      <w:r w:rsidRPr="00FD4B41">
        <w:rPr>
          <w:rFonts w:ascii="Times New Roman" w:hAnsi="Times New Roman" w:cs="Times New Roman"/>
          <w:color w:val="222222"/>
          <w:sz w:val="24"/>
          <w:szCs w:val="24"/>
          <w:shd w:val="clear" w:color="auto" w:fill="FFFFFF"/>
        </w:rPr>
        <w:t>, </w:t>
      </w:r>
      <w:r w:rsidRPr="00FD4B41">
        <w:rPr>
          <w:rFonts w:ascii="Times New Roman" w:hAnsi="Times New Roman" w:cs="Times New Roman"/>
          <w:i/>
          <w:iCs/>
          <w:color w:val="222222"/>
          <w:sz w:val="24"/>
          <w:szCs w:val="24"/>
          <w:shd w:val="clear" w:color="auto" w:fill="FFFFFF"/>
        </w:rPr>
        <w:t>92</w:t>
      </w:r>
      <w:r w:rsidRPr="00FD4B41">
        <w:rPr>
          <w:rFonts w:ascii="Times New Roman" w:hAnsi="Times New Roman" w:cs="Times New Roman"/>
          <w:color w:val="222222"/>
          <w:sz w:val="24"/>
          <w:szCs w:val="24"/>
          <w:shd w:val="clear" w:color="auto" w:fill="FFFFFF"/>
        </w:rPr>
        <w:t>, 494-503.</w:t>
      </w:r>
    </w:p>
    <w:p w14:paraId="63DBA815" w14:textId="02476EC1" w:rsidR="000C16D2" w:rsidRDefault="000C16D2" w:rsidP="009D4093">
      <w:pPr>
        <w:snapToGrid w:val="0"/>
        <w:spacing w:before="120" w:after="120" w:line="240" w:lineRule="auto"/>
        <w:jc w:val="both"/>
        <w:rPr>
          <w:rFonts w:ascii="Times New Roman" w:hAnsi="Times New Roman" w:cs="Times New Roman"/>
          <w:color w:val="222222"/>
          <w:sz w:val="24"/>
          <w:szCs w:val="24"/>
          <w:shd w:val="clear" w:color="auto" w:fill="FFFFFF"/>
        </w:rPr>
      </w:pPr>
      <w:proofErr w:type="spellStart"/>
      <w:r w:rsidRPr="00597E1A">
        <w:rPr>
          <w:rFonts w:ascii="Times New Roman" w:hAnsi="Times New Roman" w:cs="Times New Roman"/>
          <w:color w:val="222222"/>
          <w:sz w:val="24"/>
          <w:szCs w:val="24"/>
          <w:shd w:val="clear" w:color="auto" w:fill="FFFFFF"/>
        </w:rPr>
        <w:t>Toh</w:t>
      </w:r>
      <w:proofErr w:type="spellEnd"/>
      <w:r w:rsidRPr="00597E1A">
        <w:rPr>
          <w:rFonts w:ascii="Times New Roman" w:hAnsi="Times New Roman" w:cs="Times New Roman"/>
          <w:color w:val="222222"/>
          <w:sz w:val="24"/>
          <w:szCs w:val="24"/>
          <w:shd w:val="clear" w:color="auto" w:fill="FFFFFF"/>
        </w:rPr>
        <w:t xml:space="preserve">, S. H., Shaw, G., &amp; Padilla, D. (2017). Global </w:t>
      </w:r>
      <w:r w:rsidR="004509FB">
        <w:rPr>
          <w:rFonts w:ascii="Times New Roman" w:hAnsi="Times New Roman" w:cs="Times New Roman"/>
          <w:color w:val="222222"/>
          <w:sz w:val="24"/>
          <w:szCs w:val="24"/>
          <w:shd w:val="clear" w:color="auto" w:fill="FFFFFF"/>
        </w:rPr>
        <w:t>c</w:t>
      </w:r>
      <w:r w:rsidRPr="00597E1A">
        <w:rPr>
          <w:rFonts w:ascii="Times New Roman" w:hAnsi="Times New Roman" w:cs="Times New Roman"/>
          <w:color w:val="222222"/>
          <w:sz w:val="24"/>
          <w:szCs w:val="24"/>
          <w:shd w:val="clear" w:color="auto" w:fill="FFFFFF"/>
        </w:rPr>
        <w:t xml:space="preserve">itizenship </w:t>
      </w:r>
      <w:r w:rsidR="004509FB">
        <w:rPr>
          <w:rFonts w:ascii="Times New Roman" w:hAnsi="Times New Roman" w:cs="Times New Roman"/>
          <w:color w:val="222222"/>
          <w:sz w:val="24"/>
          <w:szCs w:val="24"/>
          <w:shd w:val="clear" w:color="auto" w:fill="FFFFFF"/>
        </w:rPr>
        <w:t>e</w:t>
      </w:r>
      <w:r w:rsidRPr="00597E1A">
        <w:rPr>
          <w:rFonts w:ascii="Times New Roman" w:hAnsi="Times New Roman" w:cs="Times New Roman"/>
          <w:color w:val="222222"/>
          <w:sz w:val="24"/>
          <w:szCs w:val="24"/>
          <w:shd w:val="clear" w:color="auto" w:fill="FFFFFF"/>
        </w:rPr>
        <w:t>ducation</w:t>
      </w:r>
      <w:r w:rsidR="004509FB">
        <w:rPr>
          <w:rFonts w:ascii="Times New Roman" w:hAnsi="Times New Roman" w:cs="Times New Roman"/>
          <w:color w:val="222222"/>
          <w:sz w:val="24"/>
          <w:szCs w:val="24"/>
          <w:shd w:val="clear" w:color="auto" w:fill="FFFFFF"/>
        </w:rPr>
        <w:t>:</w:t>
      </w:r>
      <w:r w:rsidRPr="00597E1A">
        <w:rPr>
          <w:rFonts w:ascii="Times New Roman" w:hAnsi="Times New Roman" w:cs="Times New Roman"/>
          <w:color w:val="222222"/>
          <w:sz w:val="24"/>
          <w:szCs w:val="24"/>
          <w:shd w:val="clear" w:color="auto" w:fill="FFFFFF"/>
        </w:rPr>
        <w:t xml:space="preserve"> A </w:t>
      </w:r>
      <w:r w:rsidR="004509FB">
        <w:rPr>
          <w:rFonts w:ascii="Times New Roman" w:hAnsi="Times New Roman" w:cs="Times New Roman"/>
          <w:color w:val="222222"/>
          <w:sz w:val="24"/>
          <w:szCs w:val="24"/>
          <w:shd w:val="clear" w:color="auto" w:fill="FFFFFF"/>
        </w:rPr>
        <w:t>g</w:t>
      </w:r>
      <w:r w:rsidRPr="00597E1A">
        <w:rPr>
          <w:rFonts w:ascii="Times New Roman" w:hAnsi="Times New Roman" w:cs="Times New Roman"/>
          <w:color w:val="222222"/>
          <w:sz w:val="24"/>
          <w:szCs w:val="24"/>
          <w:shd w:val="clear" w:color="auto" w:fill="FFFFFF"/>
        </w:rPr>
        <w:t xml:space="preserve">uide for </w:t>
      </w:r>
    </w:p>
    <w:p w14:paraId="27C5AE44" w14:textId="410A7DCE" w:rsidR="000C16D2" w:rsidRDefault="004509FB"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w:t>
      </w:r>
      <w:r w:rsidR="000C16D2" w:rsidRPr="00597E1A">
        <w:rPr>
          <w:rFonts w:ascii="Times New Roman" w:hAnsi="Times New Roman" w:cs="Times New Roman"/>
          <w:color w:val="222222"/>
          <w:sz w:val="24"/>
          <w:szCs w:val="24"/>
          <w:shd w:val="clear" w:color="auto" w:fill="FFFFFF"/>
        </w:rPr>
        <w:t>olicymakers. </w:t>
      </w:r>
      <w:r w:rsidR="000C16D2" w:rsidRPr="00597E1A">
        <w:rPr>
          <w:rFonts w:ascii="Times New Roman" w:hAnsi="Times New Roman" w:cs="Times New Roman"/>
          <w:i/>
          <w:iCs/>
          <w:color w:val="222222"/>
          <w:sz w:val="24"/>
          <w:szCs w:val="24"/>
          <w:shd w:val="clear" w:color="auto" w:fill="FFFFFF"/>
        </w:rPr>
        <w:t>Seoul, Republic of Korea: Asia-Pacific Centre of Education for International Understanding</w:t>
      </w:r>
      <w:r w:rsidR="000C16D2" w:rsidRPr="00597E1A">
        <w:rPr>
          <w:rFonts w:ascii="Times New Roman" w:hAnsi="Times New Roman" w:cs="Times New Roman"/>
          <w:color w:val="222222"/>
          <w:sz w:val="24"/>
          <w:szCs w:val="24"/>
          <w:shd w:val="clear" w:color="auto" w:fill="FFFFFF"/>
        </w:rPr>
        <w:t>.</w:t>
      </w:r>
      <w:r w:rsidR="000C16D2">
        <w:rPr>
          <w:rFonts w:ascii="Times New Roman" w:hAnsi="Times New Roman" w:cs="Times New Roman"/>
          <w:color w:val="222222"/>
          <w:sz w:val="24"/>
          <w:szCs w:val="24"/>
          <w:shd w:val="clear" w:color="auto" w:fill="FFFFFF"/>
        </w:rPr>
        <w:t xml:space="preserve"> </w:t>
      </w:r>
    </w:p>
    <w:p w14:paraId="4066F9F7" w14:textId="77777777" w:rsidR="00401CFE" w:rsidRDefault="00401CFE" w:rsidP="009D4093">
      <w:pPr>
        <w:snapToGrid w:val="0"/>
        <w:spacing w:after="120" w:line="240" w:lineRule="auto"/>
        <w:jc w:val="both"/>
        <w:rPr>
          <w:rFonts w:ascii="Times New Roman" w:hAnsi="Times New Roman" w:cs="Times New Roman"/>
          <w:color w:val="222222"/>
          <w:sz w:val="24"/>
          <w:szCs w:val="24"/>
          <w:shd w:val="clear" w:color="auto" w:fill="FFFFFF"/>
        </w:rPr>
      </w:pPr>
      <w:proofErr w:type="spellStart"/>
      <w:r w:rsidRPr="009F19AD">
        <w:rPr>
          <w:rFonts w:ascii="Times New Roman" w:hAnsi="Times New Roman" w:cs="Times New Roman"/>
          <w:color w:val="222222"/>
          <w:sz w:val="24"/>
          <w:szCs w:val="24"/>
          <w:shd w:val="clear" w:color="auto" w:fill="FFFFFF"/>
        </w:rPr>
        <w:t>Tomokawa</w:t>
      </w:r>
      <w:proofErr w:type="spellEnd"/>
      <w:r w:rsidRPr="009F19AD">
        <w:rPr>
          <w:rFonts w:ascii="Times New Roman" w:hAnsi="Times New Roman" w:cs="Times New Roman"/>
          <w:color w:val="222222"/>
          <w:sz w:val="24"/>
          <w:szCs w:val="24"/>
          <w:shd w:val="clear" w:color="auto" w:fill="FFFFFF"/>
        </w:rPr>
        <w:t xml:space="preserve">, S., </w:t>
      </w:r>
      <w:proofErr w:type="spellStart"/>
      <w:r w:rsidRPr="009F19AD">
        <w:rPr>
          <w:rFonts w:ascii="Times New Roman" w:hAnsi="Times New Roman" w:cs="Times New Roman"/>
          <w:color w:val="222222"/>
          <w:sz w:val="24"/>
          <w:szCs w:val="24"/>
          <w:shd w:val="clear" w:color="auto" w:fill="FFFFFF"/>
        </w:rPr>
        <w:t>Kaewviset</w:t>
      </w:r>
      <w:proofErr w:type="spellEnd"/>
      <w:r w:rsidRPr="009F19AD">
        <w:rPr>
          <w:rFonts w:ascii="Times New Roman" w:hAnsi="Times New Roman" w:cs="Times New Roman"/>
          <w:color w:val="222222"/>
          <w:sz w:val="24"/>
          <w:szCs w:val="24"/>
          <w:shd w:val="clear" w:color="auto" w:fill="FFFFFF"/>
        </w:rPr>
        <w:t xml:space="preserve">, S., Saito, J., Akiyama, T., </w:t>
      </w:r>
      <w:proofErr w:type="spellStart"/>
      <w:r w:rsidRPr="009F19AD">
        <w:rPr>
          <w:rFonts w:ascii="Times New Roman" w:hAnsi="Times New Roman" w:cs="Times New Roman"/>
          <w:color w:val="222222"/>
          <w:sz w:val="24"/>
          <w:szCs w:val="24"/>
          <w:shd w:val="clear" w:color="auto" w:fill="FFFFFF"/>
        </w:rPr>
        <w:t>Waikugul</w:t>
      </w:r>
      <w:proofErr w:type="spellEnd"/>
      <w:r w:rsidRPr="009F19AD">
        <w:rPr>
          <w:rFonts w:ascii="Times New Roman" w:hAnsi="Times New Roman" w:cs="Times New Roman"/>
          <w:color w:val="222222"/>
          <w:sz w:val="24"/>
          <w:szCs w:val="24"/>
          <w:shd w:val="clear" w:color="auto" w:fill="FFFFFF"/>
        </w:rPr>
        <w:t xml:space="preserve">, J., Okada, K., ... &amp; </w:t>
      </w:r>
      <w:proofErr w:type="spellStart"/>
      <w:r w:rsidRPr="009F19AD">
        <w:rPr>
          <w:rFonts w:ascii="Times New Roman" w:hAnsi="Times New Roman" w:cs="Times New Roman"/>
          <w:color w:val="222222"/>
          <w:sz w:val="24"/>
          <w:szCs w:val="24"/>
          <w:shd w:val="clear" w:color="auto" w:fill="FFFFFF"/>
        </w:rPr>
        <w:t>Jimba</w:t>
      </w:r>
      <w:proofErr w:type="spellEnd"/>
      <w:r w:rsidRPr="009F19AD">
        <w:rPr>
          <w:rFonts w:ascii="Times New Roman" w:hAnsi="Times New Roman" w:cs="Times New Roman"/>
          <w:color w:val="222222"/>
          <w:sz w:val="24"/>
          <w:szCs w:val="24"/>
          <w:shd w:val="clear" w:color="auto" w:fill="FFFFFF"/>
        </w:rPr>
        <w:t xml:space="preserve">, M. </w:t>
      </w:r>
    </w:p>
    <w:p w14:paraId="0757E91C" w14:textId="64523277" w:rsidR="00401CFE" w:rsidRDefault="00401CFE" w:rsidP="009D4093">
      <w:pPr>
        <w:snapToGrid w:val="0"/>
        <w:spacing w:after="120" w:line="240" w:lineRule="auto"/>
        <w:ind w:left="720"/>
        <w:jc w:val="both"/>
        <w:rPr>
          <w:rFonts w:ascii="Times New Roman" w:hAnsi="Times New Roman" w:cs="Times New Roman"/>
          <w:color w:val="222222"/>
          <w:sz w:val="24"/>
          <w:szCs w:val="24"/>
          <w:shd w:val="clear" w:color="auto" w:fill="FFFFFF"/>
        </w:rPr>
      </w:pPr>
      <w:r w:rsidRPr="009F19AD">
        <w:rPr>
          <w:rFonts w:ascii="Times New Roman" w:hAnsi="Times New Roman" w:cs="Times New Roman"/>
          <w:color w:val="222222"/>
          <w:sz w:val="24"/>
          <w:szCs w:val="24"/>
          <w:shd w:val="clear" w:color="auto" w:fill="FFFFFF"/>
        </w:rPr>
        <w:t>(2018). Key factors for school health policy implementation in Thailand. </w:t>
      </w:r>
      <w:r w:rsidRPr="009F19AD">
        <w:rPr>
          <w:rFonts w:ascii="Times New Roman" w:hAnsi="Times New Roman" w:cs="Times New Roman"/>
          <w:i/>
          <w:iCs/>
          <w:color w:val="222222"/>
          <w:sz w:val="24"/>
          <w:szCs w:val="24"/>
          <w:shd w:val="clear" w:color="auto" w:fill="FFFFFF"/>
        </w:rPr>
        <w:t>Health Education Research</w:t>
      </w:r>
      <w:r w:rsidRPr="009F19AD">
        <w:rPr>
          <w:rFonts w:ascii="Times New Roman" w:hAnsi="Times New Roman" w:cs="Times New Roman"/>
          <w:color w:val="222222"/>
          <w:sz w:val="24"/>
          <w:szCs w:val="24"/>
          <w:shd w:val="clear" w:color="auto" w:fill="FFFFFF"/>
        </w:rPr>
        <w:t>, </w:t>
      </w:r>
      <w:r w:rsidRPr="009F19AD">
        <w:rPr>
          <w:rFonts w:ascii="Times New Roman" w:hAnsi="Times New Roman" w:cs="Times New Roman"/>
          <w:i/>
          <w:iCs/>
          <w:color w:val="222222"/>
          <w:sz w:val="24"/>
          <w:szCs w:val="24"/>
          <w:shd w:val="clear" w:color="auto" w:fill="FFFFFF"/>
        </w:rPr>
        <w:t>33</w:t>
      </w:r>
      <w:r w:rsidRPr="009F19AD">
        <w:rPr>
          <w:rFonts w:ascii="Times New Roman" w:hAnsi="Times New Roman" w:cs="Times New Roman"/>
          <w:color w:val="222222"/>
          <w:sz w:val="24"/>
          <w:szCs w:val="24"/>
          <w:shd w:val="clear" w:color="auto" w:fill="FFFFFF"/>
        </w:rPr>
        <w:t>(2), 186-195.</w:t>
      </w:r>
    </w:p>
    <w:p w14:paraId="29C995E7" w14:textId="77777777" w:rsidR="00DD08AA" w:rsidRDefault="00DD08AA" w:rsidP="00DD08AA">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DD08AA">
        <w:rPr>
          <w:rFonts w:ascii="Times New Roman" w:hAnsi="Times New Roman" w:cs="Times New Roman"/>
          <w:color w:val="222222"/>
          <w:sz w:val="24"/>
          <w:szCs w:val="24"/>
          <w:shd w:val="clear" w:color="auto" w:fill="FFFFFF"/>
        </w:rPr>
        <w:t xml:space="preserve">Vinod, H. D. (1973). “Generalization of the </w:t>
      </w:r>
      <w:proofErr w:type="spellStart"/>
      <w:r w:rsidRPr="00DD08AA">
        <w:rPr>
          <w:rFonts w:ascii="Times New Roman" w:hAnsi="Times New Roman" w:cs="Times New Roman"/>
          <w:color w:val="222222"/>
          <w:sz w:val="24"/>
          <w:szCs w:val="24"/>
          <w:shd w:val="clear" w:color="auto" w:fill="FFFFFF"/>
        </w:rPr>
        <w:t>durbin-watson</w:t>
      </w:r>
      <w:proofErr w:type="spellEnd"/>
      <w:r w:rsidRPr="00DD08AA">
        <w:rPr>
          <w:rFonts w:ascii="Times New Roman" w:hAnsi="Times New Roman" w:cs="Times New Roman"/>
          <w:color w:val="222222"/>
          <w:sz w:val="24"/>
          <w:szCs w:val="24"/>
          <w:shd w:val="clear" w:color="auto" w:fill="FFFFFF"/>
        </w:rPr>
        <w:t xml:space="preserve"> statistic for higher order </w:t>
      </w:r>
    </w:p>
    <w:p w14:paraId="747534DE" w14:textId="061D36BD" w:rsidR="00DD08AA" w:rsidRPr="00DD08AA" w:rsidRDefault="00DD08AA" w:rsidP="002624E7">
      <w:pPr>
        <w:autoSpaceDE w:val="0"/>
        <w:autoSpaceDN w:val="0"/>
        <w:adjustRightInd w:val="0"/>
        <w:spacing w:after="0" w:line="276" w:lineRule="auto"/>
        <w:ind w:left="720"/>
        <w:jc w:val="both"/>
        <w:rPr>
          <w:rFonts w:ascii="Times New Roman" w:hAnsi="Times New Roman" w:cs="Times New Roman"/>
          <w:sz w:val="40"/>
          <w:szCs w:val="40"/>
          <w:lang w:bidi="km-KH"/>
        </w:rPr>
      </w:pPr>
      <w:r w:rsidRPr="00DD08AA">
        <w:rPr>
          <w:rFonts w:ascii="Times New Roman" w:hAnsi="Times New Roman" w:cs="Times New Roman"/>
          <w:color w:val="222222"/>
          <w:sz w:val="24"/>
          <w:szCs w:val="24"/>
          <w:shd w:val="clear" w:color="auto" w:fill="FFFFFF"/>
        </w:rPr>
        <w:t>autoregressive processes. </w:t>
      </w:r>
      <w:r w:rsidRPr="00DD08AA">
        <w:rPr>
          <w:rFonts w:ascii="Times New Roman" w:hAnsi="Times New Roman" w:cs="Times New Roman"/>
          <w:i/>
          <w:iCs/>
          <w:color w:val="222222"/>
          <w:sz w:val="24"/>
          <w:szCs w:val="24"/>
          <w:shd w:val="clear" w:color="auto" w:fill="FFFFFF"/>
        </w:rPr>
        <w:t>Communications in Statistics-Theory and Methods</w:t>
      </w:r>
      <w:r w:rsidRPr="00DD08AA">
        <w:rPr>
          <w:rFonts w:ascii="Times New Roman" w:hAnsi="Times New Roman" w:cs="Times New Roman"/>
          <w:color w:val="222222"/>
          <w:sz w:val="24"/>
          <w:szCs w:val="24"/>
          <w:shd w:val="clear" w:color="auto" w:fill="FFFFFF"/>
        </w:rPr>
        <w:t>, </w:t>
      </w:r>
      <w:r w:rsidRPr="00DD08AA">
        <w:rPr>
          <w:rFonts w:ascii="Times New Roman" w:hAnsi="Times New Roman" w:cs="Times New Roman"/>
          <w:i/>
          <w:iCs/>
          <w:color w:val="222222"/>
          <w:sz w:val="24"/>
          <w:szCs w:val="24"/>
          <w:shd w:val="clear" w:color="auto" w:fill="FFFFFF"/>
        </w:rPr>
        <w:t>2</w:t>
      </w:r>
      <w:r w:rsidRPr="00DD08AA">
        <w:rPr>
          <w:rFonts w:ascii="Times New Roman" w:hAnsi="Times New Roman" w:cs="Times New Roman"/>
          <w:color w:val="222222"/>
          <w:sz w:val="24"/>
          <w:szCs w:val="24"/>
          <w:shd w:val="clear" w:color="auto" w:fill="FFFFFF"/>
        </w:rPr>
        <w:t>(2), 115-144.</w:t>
      </w:r>
    </w:p>
    <w:p w14:paraId="6F56D6E9" w14:textId="77777777" w:rsidR="001A7CFF" w:rsidRDefault="001A7CFF" w:rsidP="009D4093">
      <w:pPr>
        <w:snapToGrid w:val="0"/>
        <w:spacing w:before="120" w:after="120" w:line="240" w:lineRule="auto"/>
        <w:jc w:val="both"/>
        <w:rPr>
          <w:rFonts w:ascii="Times New Roman" w:hAnsi="Times New Roman" w:cs="Times New Roman"/>
          <w:color w:val="222222"/>
          <w:sz w:val="24"/>
          <w:szCs w:val="24"/>
          <w:shd w:val="clear" w:color="auto" w:fill="FFFFFF"/>
        </w:rPr>
      </w:pPr>
      <w:proofErr w:type="spellStart"/>
      <w:r w:rsidRPr="00596141">
        <w:rPr>
          <w:rFonts w:ascii="Times New Roman" w:hAnsi="Times New Roman" w:cs="Times New Roman"/>
          <w:color w:val="222222"/>
          <w:sz w:val="24"/>
          <w:szCs w:val="24"/>
          <w:shd w:val="clear" w:color="auto" w:fill="FFFFFF"/>
        </w:rPr>
        <w:t>Wargocki</w:t>
      </w:r>
      <w:proofErr w:type="spellEnd"/>
      <w:r w:rsidRPr="00596141">
        <w:rPr>
          <w:rFonts w:ascii="Times New Roman" w:hAnsi="Times New Roman" w:cs="Times New Roman"/>
          <w:color w:val="222222"/>
          <w:sz w:val="24"/>
          <w:szCs w:val="24"/>
          <w:shd w:val="clear" w:color="auto" w:fill="FFFFFF"/>
        </w:rPr>
        <w:t xml:space="preserve">, P., </w:t>
      </w:r>
      <w:proofErr w:type="spellStart"/>
      <w:r w:rsidRPr="00596141">
        <w:rPr>
          <w:rFonts w:ascii="Times New Roman" w:hAnsi="Times New Roman" w:cs="Times New Roman"/>
          <w:color w:val="222222"/>
          <w:sz w:val="24"/>
          <w:szCs w:val="24"/>
          <w:shd w:val="clear" w:color="auto" w:fill="FFFFFF"/>
        </w:rPr>
        <w:t>Foldbjerg</w:t>
      </w:r>
      <w:proofErr w:type="spellEnd"/>
      <w:r w:rsidRPr="00596141">
        <w:rPr>
          <w:rFonts w:ascii="Times New Roman" w:hAnsi="Times New Roman" w:cs="Times New Roman"/>
          <w:color w:val="222222"/>
          <w:sz w:val="24"/>
          <w:szCs w:val="24"/>
          <w:shd w:val="clear" w:color="auto" w:fill="FFFFFF"/>
        </w:rPr>
        <w:t xml:space="preserve">, P., Eriksen, K. E., &amp; </w:t>
      </w:r>
      <w:proofErr w:type="spellStart"/>
      <w:r w:rsidRPr="00596141">
        <w:rPr>
          <w:rFonts w:ascii="Times New Roman" w:hAnsi="Times New Roman" w:cs="Times New Roman"/>
          <w:color w:val="222222"/>
          <w:sz w:val="24"/>
          <w:szCs w:val="24"/>
          <w:shd w:val="clear" w:color="auto" w:fill="FFFFFF"/>
        </w:rPr>
        <w:t>Videbæk</w:t>
      </w:r>
      <w:proofErr w:type="spellEnd"/>
      <w:r w:rsidRPr="00596141">
        <w:rPr>
          <w:rFonts w:ascii="Times New Roman" w:hAnsi="Times New Roman" w:cs="Times New Roman"/>
          <w:color w:val="222222"/>
          <w:sz w:val="24"/>
          <w:szCs w:val="24"/>
          <w:shd w:val="clear" w:color="auto" w:fill="FFFFFF"/>
        </w:rPr>
        <w:t xml:space="preserve">, L. E. (2014). Socio-economic </w:t>
      </w:r>
    </w:p>
    <w:p w14:paraId="5B0F39D3" w14:textId="48393F5B" w:rsidR="001A7CFF" w:rsidRDefault="001A7CFF" w:rsidP="009D4093">
      <w:pPr>
        <w:snapToGrid w:val="0"/>
        <w:spacing w:before="120" w:after="120" w:line="240" w:lineRule="auto"/>
        <w:ind w:left="720"/>
        <w:jc w:val="both"/>
        <w:rPr>
          <w:rFonts w:ascii="Times New Roman" w:hAnsi="Times New Roman" w:cs="Times New Roman"/>
          <w:color w:val="222222"/>
          <w:sz w:val="24"/>
          <w:szCs w:val="24"/>
          <w:shd w:val="clear" w:color="auto" w:fill="FFFFFF"/>
        </w:rPr>
      </w:pPr>
      <w:r w:rsidRPr="00596141">
        <w:rPr>
          <w:rFonts w:ascii="Times New Roman" w:hAnsi="Times New Roman" w:cs="Times New Roman"/>
          <w:color w:val="222222"/>
          <w:sz w:val="24"/>
          <w:szCs w:val="24"/>
          <w:shd w:val="clear" w:color="auto" w:fill="FFFFFF"/>
        </w:rPr>
        <w:t>consequences of improved indoor air quality in Danish primary schools. </w:t>
      </w:r>
      <w:r w:rsidRPr="00596141">
        <w:rPr>
          <w:rFonts w:ascii="Times New Roman" w:hAnsi="Times New Roman" w:cs="Times New Roman"/>
          <w:i/>
          <w:iCs/>
          <w:color w:val="222222"/>
          <w:sz w:val="24"/>
          <w:szCs w:val="24"/>
          <w:shd w:val="clear" w:color="auto" w:fill="FFFFFF"/>
        </w:rPr>
        <w:t>Proceedings of Indoor Air</w:t>
      </w:r>
      <w:r w:rsidRPr="00596141">
        <w:rPr>
          <w:rFonts w:ascii="Times New Roman" w:hAnsi="Times New Roman" w:cs="Times New Roman"/>
          <w:color w:val="222222"/>
          <w:sz w:val="24"/>
          <w:szCs w:val="24"/>
          <w:shd w:val="clear" w:color="auto" w:fill="FFFFFF"/>
        </w:rPr>
        <w:t>, </w:t>
      </w:r>
      <w:r w:rsidRPr="00596141">
        <w:rPr>
          <w:rFonts w:ascii="Times New Roman" w:hAnsi="Times New Roman" w:cs="Times New Roman"/>
          <w:i/>
          <w:iCs/>
          <w:color w:val="222222"/>
          <w:sz w:val="24"/>
          <w:szCs w:val="24"/>
          <w:shd w:val="clear" w:color="auto" w:fill="FFFFFF"/>
        </w:rPr>
        <w:t>2014</w:t>
      </w:r>
      <w:r w:rsidRPr="00596141">
        <w:rPr>
          <w:rFonts w:ascii="Times New Roman" w:hAnsi="Times New Roman" w:cs="Times New Roman"/>
          <w:color w:val="222222"/>
          <w:sz w:val="24"/>
          <w:szCs w:val="24"/>
          <w:shd w:val="clear" w:color="auto" w:fill="FFFFFF"/>
        </w:rPr>
        <w:t>.</w:t>
      </w:r>
    </w:p>
    <w:p w14:paraId="665D3029" w14:textId="77777777" w:rsidR="001E46AB" w:rsidRDefault="001E46AB" w:rsidP="009D4093">
      <w:pPr>
        <w:snapToGrid w:val="0"/>
        <w:spacing w:before="120" w:after="12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World Health Organization [WHO]. (2021). </w:t>
      </w:r>
      <w:r w:rsidRPr="001E46AB">
        <w:rPr>
          <w:rFonts w:ascii="Times New Roman" w:hAnsi="Times New Roman" w:cs="Times New Roman"/>
          <w:i/>
          <w:iCs/>
          <w:color w:val="222222"/>
          <w:sz w:val="24"/>
          <w:szCs w:val="24"/>
          <w:shd w:val="clear" w:color="auto" w:fill="FFFFFF"/>
        </w:rPr>
        <w:t>Health labor market analysis guidebook</w:t>
      </w:r>
      <w:r>
        <w:rPr>
          <w:rFonts w:ascii="Times New Roman" w:hAnsi="Times New Roman" w:cs="Times New Roman"/>
          <w:color w:val="222222"/>
          <w:sz w:val="24"/>
          <w:szCs w:val="24"/>
          <w:shd w:val="clear" w:color="auto" w:fill="FFFFFF"/>
        </w:rPr>
        <w:t xml:space="preserve">. Geneva, </w:t>
      </w:r>
    </w:p>
    <w:p w14:paraId="56F3C295" w14:textId="19E98B0F" w:rsidR="00DE7D0F" w:rsidRPr="002624E7" w:rsidRDefault="001E46AB" w:rsidP="002624E7">
      <w:pPr>
        <w:snapToGrid w:val="0"/>
        <w:spacing w:before="120" w:after="120" w:line="240" w:lineRule="auto"/>
        <w:ind w:firstLine="720"/>
        <w:jc w:val="both"/>
        <w:rPr>
          <w:rFonts w:ascii="Times New Roman" w:hAnsi="Times New Roman" w:cs="Times New Roman"/>
          <w:sz w:val="48"/>
          <w:szCs w:val="48"/>
        </w:rPr>
      </w:pPr>
      <w:r>
        <w:rPr>
          <w:rFonts w:ascii="Times New Roman" w:hAnsi="Times New Roman" w:cs="Times New Roman"/>
          <w:color w:val="222222"/>
          <w:sz w:val="24"/>
          <w:szCs w:val="24"/>
          <w:shd w:val="clear" w:color="auto" w:fill="FFFFFF"/>
        </w:rPr>
        <w:t>Switzerland: Work Health Organization</w:t>
      </w:r>
    </w:p>
    <w:sectPr w:rsidR="00DE7D0F" w:rsidRPr="002624E7" w:rsidSect="00110721">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454B1" w14:textId="77777777" w:rsidR="002D2481" w:rsidRDefault="002D2481" w:rsidP="00E64F40">
      <w:pPr>
        <w:spacing w:after="0" w:line="240" w:lineRule="auto"/>
      </w:pPr>
      <w:r>
        <w:separator/>
      </w:r>
    </w:p>
  </w:endnote>
  <w:endnote w:type="continuationSeparator" w:id="0">
    <w:p w14:paraId="07EE3000" w14:textId="77777777" w:rsidR="002D2481" w:rsidRDefault="002D2481" w:rsidP="00E6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aunPenh">
    <w:panose1 w:val="01010101010101010101"/>
    <w:charset w:val="00"/>
    <w:family w:val="auto"/>
    <w:pitch w:val="variable"/>
    <w:sig w:usb0="80000003" w:usb1="00000000" w:usb2="0001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TSong">
    <w:panose1 w:val="02010600040101010101"/>
    <w:charset w:val="86"/>
    <w:family w:val="auto"/>
    <w:pitch w:val="variable"/>
    <w:sig w:usb0="80000287" w:usb1="280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68406"/>
      <w:docPartObj>
        <w:docPartGallery w:val="Page Numbers (Bottom of Page)"/>
        <w:docPartUnique/>
      </w:docPartObj>
    </w:sdtPr>
    <w:sdtEndPr>
      <w:rPr>
        <w:rFonts w:ascii="Times New Roman" w:hAnsi="Times New Roman" w:cs="Times New Roman"/>
        <w:noProof/>
        <w:sz w:val="18"/>
        <w:szCs w:val="18"/>
      </w:rPr>
    </w:sdtEndPr>
    <w:sdtContent>
      <w:p w14:paraId="30791646" w14:textId="43A75976" w:rsidR="00C0115C" w:rsidRPr="008726B6" w:rsidRDefault="00C0115C">
        <w:pPr>
          <w:pStyle w:val="Footer"/>
          <w:jc w:val="center"/>
          <w:rPr>
            <w:rFonts w:ascii="Times New Roman" w:hAnsi="Times New Roman" w:cs="Times New Roman"/>
            <w:sz w:val="18"/>
            <w:szCs w:val="18"/>
          </w:rPr>
        </w:pPr>
        <w:r w:rsidRPr="008726B6">
          <w:rPr>
            <w:rFonts w:ascii="Times New Roman" w:hAnsi="Times New Roman" w:cs="Times New Roman"/>
            <w:sz w:val="18"/>
            <w:szCs w:val="18"/>
          </w:rPr>
          <w:fldChar w:fldCharType="begin"/>
        </w:r>
        <w:r w:rsidRPr="008726B6">
          <w:rPr>
            <w:rFonts w:ascii="Times New Roman" w:hAnsi="Times New Roman" w:cs="Times New Roman"/>
            <w:sz w:val="18"/>
            <w:szCs w:val="18"/>
          </w:rPr>
          <w:instrText xml:space="preserve"> PAGE   \* MERGEFORMAT </w:instrText>
        </w:r>
        <w:r w:rsidRPr="008726B6">
          <w:rPr>
            <w:rFonts w:ascii="Times New Roman" w:hAnsi="Times New Roman" w:cs="Times New Roman"/>
            <w:sz w:val="18"/>
            <w:szCs w:val="18"/>
          </w:rPr>
          <w:fldChar w:fldCharType="separate"/>
        </w:r>
        <w:r w:rsidRPr="008726B6">
          <w:rPr>
            <w:rFonts w:ascii="Times New Roman" w:hAnsi="Times New Roman" w:cs="Times New Roman"/>
            <w:noProof/>
            <w:sz w:val="18"/>
            <w:szCs w:val="18"/>
          </w:rPr>
          <w:t>2</w:t>
        </w:r>
        <w:r w:rsidRPr="008726B6">
          <w:rPr>
            <w:rFonts w:ascii="Times New Roman" w:hAnsi="Times New Roman" w:cs="Times New Roman"/>
            <w:noProof/>
            <w:sz w:val="18"/>
            <w:szCs w:val="18"/>
          </w:rPr>
          <w:fldChar w:fldCharType="end"/>
        </w:r>
      </w:p>
    </w:sdtContent>
  </w:sdt>
  <w:p w14:paraId="22758C24" w14:textId="77777777" w:rsidR="00C0115C" w:rsidRDefault="00C01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C58C9" w14:textId="77777777" w:rsidR="002D2481" w:rsidRDefault="002D2481" w:rsidP="00E64F40">
      <w:pPr>
        <w:spacing w:after="0" w:line="240" w:lineRule="auto"/>
      </w:pPr>
      <w:r>
        <w:separator/>
      </w:r>
    </w:p>
  </w:footnote>
  <w:footnote w:type="continuationSeparator" w:id="0">
    <w:p w14:paraId="426B9F5B" w14:textId="77777777" w:rsidR="002D2481" w:rsidRDefault="002D2481" w:rsidP="00E64F40">
      <w:pPr>
        <w:spacing w:after="0" w:line="240" w:lineRule="auto"/>
      </w:pPr>
      <w:r>
        <w:continuationSeparator/>
      </w:r>
    </w:p>
  </w:footnote>
  <w:footnote w:id="1">
    <w:p w14:paraId="58492F87" w14:textId="383ABD2E" w:rsidR="007B6FDF" w:rsidRPr="007B6FDF" w:rsidRDefault="007B6FDF">
      <w:pPr>
        <w:pStyle w:val="FootnoteText"/>
        <w:rPr>
          <w:rFonts w:ascii="Times New Roman" w:hAnsi="Times New Roman" w:cs="Times New Roman"/>
          <w:sz w:val="18"/>
          <w:szCs w:val="18"/>
        </w:rPr>
      </w:pPr>
      <w:r w:rsidRPr="007B6FDF">
        <w:rPr>
          <w:rStyle w:val="FootnoteReference"/>
          <w:rFonts w:ascii="Times New Roman" w:hAnsi="Times New Roman" w:cs="Times New Roman"/>
          <w:sz w:val="18"/>
          <w:szCs w:val="18"/>
        </w:rPr>
        <w:footnoteRef/>
      </w:r>
      <w:r w:rsidRPr="007B6FDF">
        <w:rPr>
          <w:rFonts w:ascii="Times New Roman" w:hAnsi="Times New Roman" w:cs="Times New Roman"/>
          <w:sz w:val="18"/>
          <w:szCs w:val="18"/>
        </w:rPr>
        <w:t xml:space="preserve"> SEAMEO TED, corresponding author, Email: </w:t>
      </w:r>
      <w:hyperlink r:id="rId1" w:history="1">
        <w:r w:rsidRPr="007B6FDF">
          <w:rPr>
            <w:rStyle w:val="Hyperlink"/>
            <w:rFonts w:ascii="Times New Roman" w:hAnsi="Times New Roman" w:cs="Times New Roman"/>
            <w:sz w:val="18"/>
            <w:szCs w:val="18"/>
          </w:rPr>
          <w:t>song.heang@yahoo.com</w:t>
        </w:r>
      </w:hyperlink>
      <w:r w:rsidRPr="007B6FDF">
        <w:rPr>
          <w:rFonts w:ascii="Times New Roman" w:hAnsi="Times New Roman" w:cs="Times New Roman"/>
          <w:sz w:val="18"/>
          <w:szCs w:val="18"/>
        </w:rPr>
        <w:t xml:space="preserve"> </w:t>
      </w:r>
    </w:p>
  </w:footnote>
  <w:footnote w:id="2">
    <w:p w14:paraId="625DC99B" w14:textId="18803012" w:rsidR="007B6FDF" w:rsidRPr="007B6FDF" w:rsidRDefault="007B6FDF">
      <w:pPr>
        <w:pStyle w:val="FootnoteText"/>
        <w:rPr>
          <w:rFonts w:ascii="Times New Roman" w:hAnsi="Times New Roman" w:cs="Times New Roman"/>
          <w:sz w:val="18"/>
          <w:szCs w:val="18"/>
        </w:rPr>
      </w:pPr>
      <w:r w:rsidRPr="007B6FDF">
        <w:rPr>
          <w:rStyle w:val="FootnoteReference"/>
          <w:rFonts w:ascii="Times New Roman" w:hAnsi="Times New Roman" w:cs="Times New Roman"/>
          <w:sz w:val="18"/>
          <w:szCs w:val="18"/>
        </w:rPr>
        <w:footnoteRef/>
      </w:r>
      <w:r w:rsidRPr="007B6FDF">
        <w:rPr>
          <w:rFonts w:ascii="Times New Roman" w:hAnsi="Times New Roman" w:cs="Times New Roman"/>
          <w:sz w:val="18"/>
          <w:szCs w:val="18"/>
        </w:rPr>
        <w:t xml:space="preserve"> SEAMEO TED</w:t>
      </w:r>
    </w:p>
  </w:footnote>
  <w:footnote w:id="3">
    <w:p w14:paraId="6AB693EA" w14:textId="05DD59E5" w:rsidR="007B6FDF" w:rsidRPr="007B6FDF" w:rsidRDefault="007B6FDF">
      <w:pPr>
        <w:pStyle w:val="FootnoteText"/>
        <w:rPr>
          <w:rFonts w:ascii="Times New Roman" w:hAnsi="Times New Roman" w:cs="Times New Roman"/>
          <w:sz w:val="18"/>
          <w:szCs w:val="18"/>
        </w:rPr>
      </w:pPr>
      <w:r w:rsidRPr="007B6FDF">
        <w:rPr>
          <w:rStyle w:val="FootnoteReference"/>
          <w:rFonts w:ascii="Times New Roman" w:hAnsi="Times New Roman" w:cs="Times New Roman"/>
          <w:sz w:val="18"/>
          <w:szCs w:val="18"/>
        </w:rPr>
        <w:footnoteRef/>
      </w:r>
      <w:r w:rsidRPr="007B6FDF">
        <w:rPr>
          <w:rFonts w:ascii="Times New Roman" w:hAnsi="Times New Roman" w:cs="Times New Roman"/>
          <w:sz w:val="18"/>
          <w:szCs w:val="18"/>
        </w:rPr>
        <w:t xml:space="preserve"> SEAMEO 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2AD"/>
    <w:multiLevelType w:val="hybridMultilevel"/>
    <w:tmpl w:val="212E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75471"/>
    <w:multiLevelType w:val="hybridMultilevel"/>
    <w:tmpl w:val="33FC9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F0FA0"/>
    <w:multiLevelType w:val="hybridMultilevel"/>
    <w:tmpl w:val="33FC9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53A2D"/>
    <w:multiLevelType w:val="hybridMultilevel"/>
    <w:tmpl w:val="33FC9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705076">
    <w:abstractNumId w:val="2"/>
  </w:num>
  <w:num w:numId="2" w16cid:durableId="775562478">
    <w:abstractNumId w:val="1"/>
  </w:num>
  <w:num w:numId="3" w16cid:durableId="1402292069">
    <w:abstractNumId w:val="3"/>
  </w:num>
  <w:num w:numId="4" w16cid:durableId="31394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86"/>
    <w:rsid w:val="00004E34"/>
    <w:rsid w:val="000057F7"/>
    <w:rsid w:val="00007E3C"/>
    <w:rsid w:val="0001103E"/>
    <w:rsid w:val="00026CAC"/>
    <w:rsid w:val="000311D1"/>
    <w:rsid w:val="00031DD8"/>
    <w:rsid w:val="00031FC7"/>
    <w:rsid w:val="000339EE"/>
    <w:rsid w:val="00043308"/>
    <w:rsid w:val="00053CD2"/>
    <w:rsid w:val="00056651"/>
    <w:rsid w:val="00061F37"/>
    <w:rsid w:val="00070697"/>
    <w:rsid w:val="00072B3A"/>
    <w:rsid w:val="00072FB9"/>
    <w:rsid w:val="00073971"/>
    <w:rsid w:val="00080583"/>
    <w:rsid w:val="00086F38"/>
    <w:rsid w:val="000874C5"/>
    <w:rsid w:val="00091328"/>
    <w:rsid w:val="0009611F"/>
    <w:rsid w:val="000A1263"/>
    <w:rsid w:val="000A1647"/>
    <w:rsid w:val="000A2330"/>
    <w:rsid w:val="000B02A0"/>
    <w:rsid w:val="000B265D"/>
    <w:rsid w:val="000B2D81"/>
    <w:rsid w:val="000C0CE3"/>
    <w:rsid w:val="000C16D2"/>
    <w:rsid w:val="000C42A8"/>
    <w:rsid w:val="000C52A2"/>
    <w:rsid w:val="000D6801"/>
    <w:rsid w:val="000D770A"/>
    <w:rsid w:val="000D79FB"/>
    <w:rsid w:val="000F1BF1"/>
    <w:rsid w:val="000F1FD8"/>
    <w:rsid w:val="000F32F7"/>
    <w:rsid w:val="000F419A"/>
    <w:rsid w:val="000F462E"/>
    <w:rsid w:val="000F4FE0"/>
    <w:rsid w:val="000F513A"/>
    <w:rsid w:val="00105259"/>
    <w:rsid w:val="00110721"/>
    <w:rsid w:val="00110966"/>
    <w:rsid w:val="0011378D"/>
    <w:rsid w:val="00115641"/>
    <w:rsid w:val="00117142"/>
    <w:rsid w:val="00123746"/>
    <w:rsid w:val="0012590B"/>
    <w:rsid w:val="001420D1"/>
    <w:rsid w:val="0014541E"/>
    <w:rsid w:val="00145533"/>
    <w:rsid w:val="00163FC7"/>
    <w:rsid w:val="0017234D"/>
    <w:rsid w:val="001726C3"/>
    <w:rsid w:val="0017620E"/>
    <w:rsid w:val="0017722B"/>
    <w:rsid w:val="00177565"/>
    <w:rsid w:val="00184ED3"/>
    <w:rsid w:val="00185B72"/>
    <w:rsid w:val="00186972"/>
    <w:rsid w:val="00186CC9"/>
    <w:rsid w:val="001A2E25"/>
    <w:rsid w:val="001A6D52"/>
    <w:rsid w:val="001A7045"/>
    <w:rsid w:val="001A7CFF"/>
    <w:rsid w:val="001B126E"/>
    <w:rsid w:val="001B545B"/>
    <w:rsid w:val="001B7F26"/>
    <w:rsid w:val="001C11B3"/>
    <w:rsid w:val="001C22F9"/>
    <w:rsid w:val="001C563F"/>
    <w:rsid w:val="001D2D15"/>
    <w:rsid w:val="001D3A45"/>
    <w:rsid w:val="001D41EE"/>
    <w:rsid w:val="001D78FB"/>
    <w:rsid w:val="001E2E56"/>
    <w:rsid w:val="001E46AB"/>
    <w:rsid w:val="001E6A6B"/>
    <w:rsid w:val="001E6DCE"/>
    <w:rsid w:val="001F31A4"/>
    <w:rsid w:val="001F4CF2"/>
    <w:rsid w:val="001F6DB1"/>
    <w:rsid w:val="002017A5"/>
    <w:rsid w:val="002065C3"/>
    <w:rsid w:val="002112AF"/>
    <w:rsid w:val="00217D10"/>
    <w:rsid w:val="00220095"/>
    <w:rsid w:val="002234DB"/>
    <w:rsid w:val="00223BB6"/>
    <w:rsid w:val="00230436"/>
    <w:rsid w:val="0023228E"/>
    <w:rsid w:val="00234DDD"/>
    <w:rsid w:val="00235C25"/>
    <w:rsid w:val="00236504"/>
    <w:rsid w:val="00236BF3"/>
    <w:rsid w:val="00241BE0"/>
    <w:rsid w:val="0024271E"/>
    <w:rsid w:val="00253D68"/>
    <w:rsid w:val="002543AF"/>
    <w:rsid w:val="002573EB"/>
    <w:rsid w:val="0026244B"/>
    <w:rsid w:val="002624E7"/>
    <w:rsid w:val="0026537C"/>
    <w:rsid w:val="002661E0"/>
    <w:rsid w:val="0027028D"/>
    <w:rsid w:val="00272230"/>
    <w:rsid w:val="002737E5"/>
    <w:rsid w:val="00274904"/>
    <w:rsid w:val="00275D9C"/>
    <w:rsid w:val="002807B0"/>
    <w:rsid w:val="00281937"/>
    <w:rsid w:val="00281BFE"/>
    <w:rsid w:val="00282344"/>
    <w:rsid w:val="00284AA5"/>
    <w:rsid w:val="00290267"/>
    <w:rsid w:val="0029126F"/>
    <w:rsid w:val="00295AFC"/>
    <w:rsid w:val="00296ADD"/>
    <w:rsid w:val="00297D3A"/>
    <w:rsid w:val="002A2456"/>
    <w:rsid w:val="002A2F67"/>
    <w:rsid w:val="002B0905"/>
    <w:rsid w:val="002B39E8"/>
    <w:rsid w:val="002B4D14"/>
    <w:rsid w:val="002C1891"/>
    <w:rsid w:val="002C48A0"/>
    <w:rsid w:val="002C62A8"/>
    <w:rsid w:val="002C6472"/>
    <w:rsid w:val="002D2481"/>
    <w:rsid w:val="002D39FA"/>
    <w:rsid w:val="002E4E2C"/>
    <w:rsid w:val="002E5C4A"/>
    <w:rsid w:val="002E7DCA"/>
    <w:rsid w:val="002F08AD"/>
    <w:rsid w:val="002F36CD"/>
    <w:rsid w:val="002F6950"/>
    <w:rsid w:val="003010AF"/>
    <w:rsid w:val="00302A57"/>
    <w:rsid w:val="00306F41"/>
    <w:rsid w:val="003074F8"/>
    <w:rsid w:val="00311473"/>
    <w:rsid w:val="00312982"/>
    <w:rsid w:val="00312DCF"/>
    <w:rsid w:val="003141FF"/>
    <w:rsid w:val="00314225"/>
    <w:rsid w:val="00315B27"/>
    <w:rsid w:val="00321383"/>
    <w:rsid w:val="003235B1"/>
    <w:rsid w:val="00323941"/>
    <w:rsid w:val="00323EA5"/>
    <w:rsid w:val="003248BA"/>
    <w:rsid w:val="00340C68"/>
    <w:rsid w:val="00341B52"/>
    <w:rsid w:val="00344CD2"/>
    <w:rsid w:val="00350AA2"/>
    <w:rsid w:val="00351BEE"/>
    <w:rsid w:val="00353A84"/>
    <w:rsid w:val="003553DC"/>
    <w:rsid w:val="00360DCB"/>
    <w:rsid w:val="00361ADB"/>
    <w:rsid w:val="00362C5A"/>
    <w:rsid w:val="0036710B"/>
    <w:rsid w:val="00371D3A"/>
    <w:rsid w:val="003728B0"/>
    <w:rsid w:val="00372FDB"/>
    <w:rsid w:val="00373851"/>
    <w:rsid w:val="00381D9D"/>
    <w:rsid w:val="00382EF7"/>
    <w:rsid w:val="0038773F"/>
    <w:rsid w:val="003903A0"/>
    <w:rsid w:val="003A0545"/>
    <w:rsid w:val="003A43D5"/>
    <w:rsid w:val="003A50DF"/>
    <w:rsid w:val="003A5410"/>
    <w:rsid w:val="003B1525"/>
    <w:rsid w:val="003B7CBC"/>
    <w:rsid w:val="003C3475"/>
    <w:rsid w:val="003D0291"/>
    <w:rsid w:val="003D0EDC"/>
    <w:rsid w:val="003D14C5"/>
    <w:rsid w:val="003D1E98"/>
    <w:rsid w:val="003D63D5"/>
    <w:rsid w:val="003D705F"/>
    <w:rsid w:val="003D7075"/>
    <w:rsid w:val="003D7E15"/>
    <w:rsid w:val="003E0C74"/>
    <w:rsid w:val="003E5E9D"/>
    <w:rsid w:val="003F2672"/>
    <w:rsid w:val="003F26F1"/>
    <w:rsid w:val="003F3BCC"/>
    <w:rsid w:val="003F4BF5"/>
    <w:rsid w:val="003F6424"/>
    <w:rsid w:val="004007DD"/>
    <w:rsid w:val="00401CFE"/>
    <w:rsid w:val="00403A8F"/>
    <w:rsid w:val="00404162"/>
    <w:rsid w:val="00405586"/>
    <w:rsid w:val="004107DE"/>
    <w:rsid w:val="00412641"/>
    <w:rsid w:val="00412F87"/>
    <w:rsid w:val="00412FFE"/>
    <w:rsid w:val="004137B3"/>
    <w:rsid w:val="0041471D"/>
    <w:rsid w:val="00414C10"/>
    <w:rsid w:val="00424056"/>
    <w:rsid w:val="00425004"/>
    <w:rsid w:val="00425BFD"/>
    <w:rsid w:val="0043459D"/>
    <w:rsid w:val="00435AD4"/>
    <w:rsid w:val="00437611"/>
    <w:rsid w:val="0044225F"/>
    <w:rsid w:val="004509FB"/>
    <w:rsid w:val="00452BE0"/>
    <w:rsid w:val="00453242"/>
    <w:rsid w:val="00453706"/>
    <w:rsid w:val="00456BE1"/>
    <w:rsid w:val="00457984"/>
    <w:rsid w:val="00473466"/>
    <w:rsid w:val="00483A4A"/>
    <w:rsid w:val="004845A4"/>
    <w:rsid w:val="00493AD3"/>
    <w:rsid w:val="004954D8"/>
    <w:rsid w:val="004A3D4A"/>
    <w:rsid w:val="004A3D7C"/>
    <w:rsid w:val="004A55D6"/>
    <w:rsid w:val="004A6B6A"/>
    <w:rsid w:val="004B054B"/>
    <w:rsid w:val="004B08C9"/>
    <w:rsid w:val="004B2DB2"/>
    <w:rsid w:val="004B41F4"/>
    <w:rsid w:val="004B5B05"/>
    <w:rsid w:val="004B5CFA"/>
    <w:rsid w:val="004C06B3"/>
    <w:rsid w:val="004C0EFB"/>
    <w:rsid w:val="004C1181"/>
    <w:rsid w:val="004C1642"/>
    <w:rsid w:val="004C70BE"/>
    <w:rsid w:val="004C7FFD"/>
    <w:rsid w:val="004D0278"/>
    <w:rsid w:val="004D0622"/>
    <w:rsid w:val="004D0E7D"/>
    <w:rsid w:val="004E44AD"/>
    <w:rsid w:val="004E7F9E"/>
    <w:rsid w:val="004F1881"/>
    <w:rsid w:val="004F4005"/>
    <w:rsid w:val="00502EED"/>
    <w:rsid w:val="005030BD"/>
    <w:rsid w:val="005046A0"/>
    <w:rsid w:val="00505E2E"/>
    <w:rsid w:val="00511364"/>
    <w:rsid w:val="00511671"/>
    <w:rsid w:val="00512AF0"/>
    <w:rsid w:val="005135F9"/>
    <w:rsid w:val="0052779A"/>
    <w:rsid w:val="005336FE"/>
    <w:rsid w:val="0053382F"/>
    <w:rsid w:val="005360E6"/>
    <w:rsid w:val="005401E6"/>
    <w:rsid w:val="0054181F"/>
    <w:rsid w:val="00541EBF"/>
    <w:rsid w:val="00544A42"/>
    <w:rsid w:val="00546592"/>
    <w:rsid w:val="00546F5F"/>
    <w:rsid w:val="00556C15"/>
    <w:rsid w:val="00557B02"/>
    <w:rsid w:val="00560FE6"/>
    <w:rsid w:val="0056482F"/>
    <w:rsid w:val="0056609D"/>
    <w:rsid w:val="005662D0"/>
    <w:rsid w:val="00567E93"/>
    <w:rsid w:val="00570144"/>
    <w:rsid w:val="00574362"/>
    <w:rsid w:val="005757B4"/>
    <w:rsid w:val="0058069D"/>
    <w:rsid w:val="0058167D"/>
    <w:rsid w:val="005829EF"/>
    <w:rsid w:val="00582FE1"/>
    <w:rsid w:val="005870D8"/>
    <w:rsid w:val="005903D0"/>
    <w:rsid w:val="0059049F"/>
    <w:rsid w:val="0059088B"/>
    <w:rsid w:val="00591D9D"/>
    <w:rsid w:val="005947C0"/>
    <w:rsid w:val="00596141"/>
    <w:rsid w:val="00597600"/>
    <w:rsid w:val="00597E1A"/>
    <w:rsid w:val="005A0FB0"/>
    <w:rsid w:val="005A37BA"/>
    <w:rsid w:val="005A4A9A"/>
    <w:rsid w:val="005A5C03"/>
    <w:rsid w:val="005B66FD"/>
    <w:rsid w:val="005C24A8"/>
    <w:rsid w:val="005C25AE"/>
    <w:rsid w:val="005C34AD"/>
    <w:rsid w:val="005D0754"/>
    <w:rsid w:val="005D54F8"/>
    <w:rsid w:val="005D5AEC"/>
    <w:rsid w:val="005D7CB2"/>
    <w:rsid w:val="005E1175"/>
    <w:rsid w:val="005E4B9E"/>
    <w:rsid w:val="005F1676"/>
    <w:rsid w:val="005F3598"/>
    <w:rsid w:val="005F5E9E"/>
    <w:rsid w:val="00602733"/>
    <w:rsid w:val="0060300F"/>
    <w:rsid w:val="006046CB"/>
    <w:rsid w:val="0060572B"/>
    <w:rsid w:val="00606BC2"/>
    <w:rsid w:val="006102E5"/>
    <w:rsid w:val="00610771"/>
    <w:rsid w:val="006125F4"/>
    <w:rsid w:val="00613F0F"/>
    <w:rsid w:val="00615DD3"/>
    <w:rsid w:val="006171A8"/>
    <w:rsid w:val="00617E13"/>
    <w:rsid w:val="0062089F"/>
    <w:rsid w:val="00620FA7"/>
    <w:rsid w:val="006211CE"/>
    <w:rsid w:val="00623094"/>
    <w:rsid w:val="006244AF"/>
    <w:rsid w:val="00625572"/>
    <w:rsid w:val="00625B6B"/>
    <w:rsid w:val="0062638C"/>
    <w:rsid w:val="0063093E"/>
    <w:rsid w:val="00630A22"/>
    <w:rsid w:val="00632DC7"/>
    <w:rsid w:val="0063391E"/>
    <w:rsid w:val="00635134"/>
    <w:rsid w:val="00642D3D"/>
    <w:rsid w:val="00647108"/>
    <w:rsid w:val="006525AB"/>
    <w:rsid w:val="006565C7"/>
    <w:rsid w:val="00657153"/>
    <w:rsid w:val="00660284"/>
    <w:rsid w:val="00662423"/>
    <w:rsid w:val="006628F9"/>
    <w:rsid w:val="00664439"/>
    <w:rsid w:val="00667C76"/>
    <w:rsid w:val="00675BFC"/>
    <w:rsid w:val="006828CC"/>
    <w:rsid w:val="00683F5B"/>
    <w:rsid w:val="00693B2F"/>
    <w:rsid w:val="006949C2"/>
    <w:rsid w:val="00695775"/>
    <w:rsid w:val="00695A54"/>
    <w:rsid w:val="00697322"/>
    <w:rsid w:val="006A0BBE"/>
    <w:rsid w:val="006A6654"/>
    <w:rsid w:val="006B3087"/>
    <w:rsid w:val="006B78E2"/>
    <w:rsid w:val="006C421F"/>
    <w:rsid w:val="006C5677"/>
    <w:rsid w:val="006C5CF2"/>
    <w:rsid w:val="006C75CF"/>
    <w:rsid w:val="006D3674"/>
    <w:rsid w:val="006D6A54"/>
    <w:rsid w:val="006E173F"/>
    <w:rsid w:val="006E226C"/>
    <w:rsid w:val="006F2945"/>
    <w:rsid w:val="006F361D"/>
    <w:rsid w:val="006F3A6C"/>
    <w:rsid w:val="006F40BE"/>
    <w:rsid w:val="006F4B99"/>
    <w:rsid w:val="00710F97"/>
    <w:rsid w:val="0071288D"/>
    <w:rsid w:val="0071315C"/>
    <w:rsid w:val="007225C3"/>
    <w:rsid w:val="00722A34"/>
    <w:rsid w:val="00733701"/>
    <w:rsid w:val="00736154"/>
    <w:rsid w:val="00736C83"/>
    <w:rsid w:val="00737162"/>
    <w:rsid w:val="007409BD"/>
    <w:rsid w:val="00741B14"/>
    <w:rsid w:val="0074796D"/>
    <w:rsid w:val="00754C0F"/>
    <w:rsid w:val="007603DA"/>
    <w:rsid w:val="00761422"/>
    <w:rsid w:val="00761704"/>
    <w:rsid w:val="00762CB4"/>
    <w:rsid w:val="0076348A"/>
    <w:rsid w:val="00764B35"/>
    <w:rsid w:val="00766E5D"/>
    <w:rsid w:val="00767742"/>
    <w:rsid w:val="00773E52"/>
    <w:rsid w:val="00773E81"/>
    <w:rsid w:val="007753F1"/>
    <w:rsid w:val="00777524"/>
    <w:rsid w:val="00780741"/>
    <w:rsid w:val="007907BF"/>
    <w:rsid w:val="007913C1"/>
    <w:rsid w:val="0079398A"/>
    <w:rsid w:val="00795000"/>
    <w:rsid w:val="007956E9"/>
    <w:rsid w:val="007957EC"/>
    <w:rsid w:val="00797001"/>
    <w:rsid w:val="007A007A"/>
    <w:rsid w:val="007A011C"/>
    <w:rsid w:val="007A29F3"/>
    <w:rsid w:val="007A7629"/>
    <w:rsid w:val="007A7F58"/>
    <w:rsid w:val="007B226A"/>
    <w:rsid w:val="007B46D4"/>
    <w:rsid w:val="007B6FDF"/>
    <w:rsid w:val="007B74E2"/>
    <w:rsid w:val="007C1125"/>
    <w:rsid w:val="007C1163"/>
    <w:rsid w:val="007C5538"/>
    <w:rsid w:val="007C6537"/>
    <w:rsid w:val="007C6FF3"/>
    <w:rsid w:val="007D097A"/>
    <w:rsid w:val="007D40C4"/>
    <w:rsid w:val="007D48ED"/>
    <w:rsid w:val="007D6420"/>
    <w:rsid w:val="007D7AFA"/>
    <w:rsid w:val="007E0FE0"/>
    <w:rsid w:val="007E1562"/>
    <w:rsid w:val="007E224E"/>
    <w:rsid w:val="007E3E87"/>
    <w:rsid w:val="007E5818"/>
    <w:rsid w:val="007F0C20"/>
    <w:rsid w:val="00800870"/>
    <w:rsid w:val="00801A78"/>
    <w:rsid w:val="008020CB"/>
    <w:rsid w:val="008034B9"/>
    <w:rsid w:val="00814059"/>
    <w:rsid w:val="00816D49"/>
    <w:rsid w:val="008275D8"/>
    <w:rsid w:val="00830771"/>
    <w:rsid w:val="00835D72"/>
    <w:rsid w:val="00836003"/>
    <w:rsid w:val="008362CD"/>
    <w:rsid w:val="008378B0"/>
    <w:rsid w:val="008378C2"/>
    <w:rsid w:val="00837E9F"/>
    <w:rsid w:val="00841583"/>
    <w:rsid w:val="0084192B"/>
    <w:rsid w:val="00843C8F"/>
    <w:rsid w:val="0084481F"/>
    <w:rsid w:val="008459C2"/>
    <w:rsid w:val="0085417D"/>
    <w:rsid w:val="008610A2"/>
    <w:rsid w:val="0086343F"/>
    <w:rsid w:val="00863687"/>
    <w:rsid w:val="0086511E"/>
    <w:rsid w:val="00865ADE"/>
    <w:rsid w:val="00871A09"/>
    <w:rsid w:val="00871EDB"/>
    <w:rsid w:val="008726B6"/>
    <w:rsid w:val="00883249"/>
    <w:rsid w:val="0088718B"/>
    <w:rsid w:val="00890A34"/>
    <w:rsid w:val="00893A55"/>
    <w:rsid w:val="00895082"/>
    <w:rsid w:val="008963D7"/>
    <w:rsid w:val="00897549"/>
    <w:rsid w:val="008A00CD"/>
    <w:rsid w:val="008A2271"/>
    <w:rsid w:val="008A33FC"/>
    <w:rsid w:val="008A36B2"/>
    <w:rsid w:val="008A4455"/>
    <w:rsid w:val="008B4E37"/>
    <w:rsid w:val="008C2836"/>
    <w:rsid w:val="008C49B4"/>
    <w:rsid w:val="008C7128"/>
    <w:rsid w:val="008D0594"/>
    <w:rsid w:val="008D1C3A"/>
    <w:rsid w:val="008E06A1"/>
    <w:rsid w:val="008E4B18"/>
    <w:rsid w:val="008F76E1"/>
    <w:rsid w:val="008F7D37"/>
    <w:rsid w:val="009067F4"/>
    <w:rsid w:val="00907DB8"/>
    <w:rsid w:val="009123C1"/>
    <w:rsid w:val="009247CF"/>
    <w:rsid w:val="0092752F"/>
    <w:rsid w:val="00935588"/>
    <w:rsid w:val="00935A6D"/>
    <w:rsid w:val="00940602"/>
    <w:rsid w:val="00942202"/>
    <w:rsid w:val="00946297"/>
    <w:rsid w:val="009466DC"/>
    <w:rsid w:val="00950624"/>
    <w:rsid w:val="0095486D"/>
    <w:rsid w:val="0096357A"/>
    <w:rsid w:val="00964C26"/>
    <w:rsid w:val="009814D1"/>
    <w:rsid w:val="00981BE4"/>
    <w:rsid w:val="00982990"/>
    <w:rsid w:val="00990BC6"/>
    <w:rsid w:val="0099483A"/>
    <w:rsid w:val="00996606"/>
    <w:rsid w:val="009A16A1"/>
    <w:rsid w:val="009A5609"/>
    <w:rsid w:val="009B2FE4"/>
    <w:rsid w:val="009B39F1"/>
    <w:rsid w:val="009B716D"/>
    <w:rsid w:val="009C0250"/>
    <w:rsid w:val="009C6E9F"/>
    <w:rsid w:val="009D4093"/>
    <w:rsid w:val="009D6D8F"/>
    <w:rsid w:val="009D76DE"/>
    <w:rsid w:val="009E21F3"/>
    <w:rsid w:val="009F19AD"/>
    <w:rsid w:val="009F273F"/>
    <w:rsid w:val="00A02AD5"/>
    <w:rsid w:val="00A03057"/>
    <w:rsid w:val="00A03F24"/>
    <w:rsid w:val="00A05652"/>
    <w:rsid w:val="00A059F1"/>
    <w:rsid w:val="00A11532"/>
    <w:rsid w:val="00A21DB9"/>
    <w:rsid w:val="00A2750A"/>
    <w:rsid w:val="00A27971"/>
    <w:rsid w:val="00A31BCB"/>
    <w:rsid w:val="00A32B88"/>
    <w:rsid w:val="00A35F83"/>
    <w:rsid w:val="00A36D20"/>
    <w:rsid w:val="00A3726F"/>
    <w:rsid w:val="00A400EC"/>
    <w:rsid w:val="00A43518"/>
    <w:rsid w:val="00A50A31"/>
    <w:rsid w:val="00A52142"/>
    <w:rsid w:val="00A52D32"/>
    <w:rsid w:val="00A543E5"/>
    <w:rsid w:val="00A55DCE"/>
    <w:rsid w:val="00A6276C"/>
    <w:rsid w:val="00A65B2B"/>
    <w:rsid w:val="00A70C17"/>
    <w:rsid w:val="00A72D1C"/>
    <w:rsid w:val="00A75725"/>
    <w:rsid w:val="00A814F7"/>
    <w:rsid w:val="00A83227"/>
    <w:rsid w:val="00A84CC8"/>
    <w:rsid w:val="00A85C06"/>
    <w:rsid w:val="00A85C3D"/>
    <w:rsid w:val="00A85FFF"/>
    <w:rsid w:val="00A94F5F"/>
    <w:rsid w:val="00A95753"/>
    <w:rsid w:val="00AA1183"/>
    <w:rsid w:val="00AB3D98"/>
    <w:rsid w:val="00AB6B56"/>
    <w:rsid w:val="00AC10C6"/>
    <w:rsid w:val="00AC3A97"/>
    <w:rsid w:val="00AC4F9B"/>
    <w:rsid w:val="00AD2B02"/>
    <w:rsid w:val="00AD2D70"/>
    <w:rsid w:val="00AD388D"/>
    <w:rsid w:val="00AD3E84"/>
    <w:rsid w:val="00AD58F2"/>
    <w:rsid w:val="00AE0244"/>
    <w:rsid w:val="00AE26A9"/>
    <w:rsid w:val="00AF2620"/>
    <w:rsid w:val="00AF375B"/>
    <w:rsid w:val="00AF5F9D"/>
    <w:rsid w:val="00B0191D"/>
    <w:rsid w:val="00B0400C"/>
    <w:rsid w:val="00B04896"/>
    <w:rsid w:val="00B06846"/>
    <w:rsid w:val="00B07A6F"/>
    <w:rsid w:val="00B12407"/>
    <w:rsid w:val="00B1308F"/>
    <w:rsid w:val="00B15EBE"/>
    <w:rsid w:val="00B16059"/>
    <w:rsid w:val="00B16850"/>
    <w:rsid w:val="00B25F04"/>
    <w:rsid w:val="00B30B05"/>
    <w:rsid w:val="00B30F63"/>
    <w:rsid w:val="00B31654"/>
    <w:rsid w:val="00B316C7"/>
    <w:rsid w:val="00B353F1"/>
    <w:rsid w:val="00B365E3"/>
    <w:rsid w:val="00B36987"/>
    <w:rsid w:val="00B41961"/>
    <w:rsid w:val="00B42B11"/>
    <w:rsid w:val="00B446CB"/>
    <w:rsid w:val="00B47C3C"/>
    <w:rsid w:val="00B516D1"/>
    <w:rsid w:val="00B527A9"/>
    <w:rsid w:val="00B567ED"/>
    <w:rsid w:val="00B57F89"/>
    <w:rsid w:val="00B62594"/>
    <w:rsid w:val="00B63ADB"/>
    <w:rsid w:val="00B66DCD"/>
    <w:rsid w:val="00B66E7F"/>
    <w:rsid w:val="00B67C38"/>
    <w:rsid w:val="00B802E1"/>
    <w:rsid w:val="00B81BC8"/>
    <w:rsid w:val="00B8293E"/>
    <w:rsid w:val="00B82F24"/>
    <w:rsid w:val="00B83557"/>
    <w:rsid w:val="00B83823"/>
    <w:rsid w:val="00B84B57"/>
    <w:rsid w:val="00B878C7"/>
    <w:rsid w:val="00B87B7F"/>
    <w:rsid w:val="00B90B4F"/>
    <w:rsid w:val="00B929BA"/>
    <w:rsid w:val="00B940A0"/>
    <w:rsid w:val="00B97281"/>
    <w:rsid w:val="00BA3EFC"/>
    <w:rsid w:val="00BA7CFC"/>
    <w:rsid w:val="00BB056C"/>
    <w:rsid w:val="00BB220F"/>
    <w:rsid w:val="00BC0DE6"/>
    <w:rsid w:val="00BC1071"/>
    <w:rsid w:val="00BC2B7A"/>
    <w:rsid w:val="00BC3E2D"/>
    <w:rsid w:val="00BC548F"/>
    <w:rsid w:val="00BD382E"/>
    <w:rsid w:val="00BD4C33"/>
    <w:rsid w:val="00BD6060"/>
    <w:rsid w:val="00BE03A6"/>
    <w:rsid w:val="00BE10EC"/>
    <w:rsid w:val="00BE2830"/>
    <w:rsid w:val="00BE6D51"/>
    <w:rsid w:val="00BE721E"/>
    <w:rsid w:val="00BE7DC3"/>
    <w:rsid w:val="00BF046B"/>
    <w:rsid w:val="00BF1189"/>
    <w:rsid w:val="00BF13FA"/>
    <w:rsid w:val="00BF206B"/>
    <w:rsid w:val="00BF2475"/>
    <w:rsid w:val="00BF2D24"/>
    <w:rsid w:val="00BF5FEC"/>
    <w:rsid w:val="00BF74E0"/>
    <w:rsid w:val="00C0115C"/>
    <w:rsid w:val="00C01411"/>
    <w:rsid w:val="00C01425"/>
    <w:rsid w:val="00C0168B"/>
    <w:rsid w:val="00C029C6"/>
    <w:rsid w:val="00C044F7"/>
    <w:rsid w:val="00C045EC"/>
    <w:rsid w:val="00C0618B"/>
    <w:rsid w:val="00C15058"/>
    <w:rsid w:val="00C16A4C"/>
    <w:rsid w:val="00C21178"/>
    <w:rsid w:val="00C22DEA"/>
    <w:rsid w:val="00C23EA3"/>
    <w:rsid w:val="00C273E4"/>
    <w:rsid w:val="00C3121D"/>
    <w:rsid w:val="00C32D37"/>
    <w:rsid w:val="00C332B0"/>
    <w:rsid w:val="00C336A8"/>
    <w:rsid w:val="00C34D68"/>
    <w:rsid w:val="00C3591E"/>
    <w:rsid w:val="00C3796C"/>
    <w:rsid w:val="00C401DB"/>
    <w:rsid w:val="00C419BB"/>
    <w:rsid w:val="00C43C01"/>
    <w:rsid w:val="00C534E1"/>
    <w:rsid w:val="00C53C28"/>
    <w:rsid w:val="00C54AF1"/>
    <w:rsid w:val="00C55FCB"/>
    <w:rsid w:val="00C6038B"/>
    <w:rsid w:val="00C61F94"/>
    <w:rsid w:val="00C641EA"/>
    <w:rsid w:val="00C64C8C"/>
    <w:rsid w:val="00C67D0D"/>
    <w:rsid w:val="00C67EDD"/>
    <w:rsid w:val="00C67FE2"/>
    <w:rsid w:val="00C71B29"/>
    <w:rsid w:val="00C817E2"/>
    <w:rsid w:val="00C97357"/>
    <w:rsid w:val="00CA4AA3"/>
    <w:rsid w:val="00CA56BB"/>
    <w:rsid w:val="00CB179B"/>
    <w:rsid w:val="00CB2D90"/>
    <w:rsid w:val="00CB3CD4"/>
    <w:rsid w:val="00CB72FB"/>
    <w:rsid w:val="00CB74FB"/>
    <w:rsid w:val="00CC3111"/>
    <w:rsid w:val="00CC3DEA"/>
    <w:rsid w:val="00CC6E94"/>
    <w:rsid w:val="00CC79EF"/>
    <w:rsid w:val="00CC7E5E"/>
    <w:rsid w:val="00CD5B5E"/>
    <w:rsid w:val="00CD72A6"/>
    <w:rsid w:val="00CE0084"/>
    <w:rsid w:val="00CE53C9"/>
    <w:rsid w:val="00CF0091"/>
    <w:rsid w:val="00CF0744"/>
    <w:rsid w:val="00CF0750"/>
    <w:rsid w:val="00CF4D44"/>
    <w:rsid w:val="00CF75CD"/>
    <w:rsid w:val="00D00CE2"/>
    <w:rsid w:val="00D020BC"/>
    <w:rsid w:val="00D07E67"/>
    <w:rsid w:val="00D110BB"/>
    <w:rsid w:val="00D1324C"/>
    <w:rsid w:val="00D15039"/>
    <w:rsid w:val="00D15FF1"/>
    <w:rsid w:val="00D208BB"/>
    <w:rsid w:val="00D22802"/>
    <w:rsid w:val="00D24D94"/>
    <w:rsid w:val="00D25F07"/>
    <w:rsid w:val="00D26091"/>
    <w:rsid w:val="00D31480"/>
    <w:rsid w:val="00D31A52"/>
    <w:rsid w:val="00D41031"/>
    <w:rsid w:val="00D4181B"/>
    <w:rsid w:val="00D42B04"/>
    <w:rsid w:val="00D45F36"/>
    <w:rsid w:val="00D5128C"/>
    <w:rsid w:val="00D516CD"/>
    <w:rsid w:val="00D51814"/>
    <w:rsid w:val="00D51B5D"/>
    <w:rsid w:val="00D56A01"/>
    <w:rsid w:val="00D6082A"/>
    <w:rsid w:val="00D60F34"/>
    <w:rsid w:val="00D62352"/>
    <w:rsid w:val="00D63FC2"/>
    <w:rsid w:val="00D6732C"/>
    <w:rsid w:val="00D73D51"/>
    <w:rsid w:val="00D742A8"/>
    <w:rsid w:val="00D8599D"/>
    <w:rsid w:val="00D85C83"/>
    <w:rsid w:val="00D8652A"/>
    <w:rsid w:val="00D87B5F"/>
    <w:rsid w:val="00D90EA4"/>
    <w:rsid w:val="00D95F45"/>
    <w:rsid w:val="00D97F2E"/>
    <w:rsid w:val="00DA3A7D"/>
    <w:rsid w:val="00DA4599"/>
    <w:rsid w:val="00DB48B7"/>
    <w:rsid w:val="00DB5963"/>
    <w:rsid w:val="00DC2B62"/>
    <w:rsid w:val="00DC58C7"/>
    <w:rsid w:val="00DC6B5B"/>
    <w:rsid w:val="00DD08AA"/>
    <w:rsid w:val="00DD220B"/>
    <w:rsid w:val="00DD4A08"/>
    <w:rsid w:val="00DE4144"/>
    <w:rsid w:val="00DE7D0F"/>
    <w:rsid w:val="00DE7DFF"/>
    <w:rsid w:val="00E03A20"/>
    <w:rsid w:val="00E054F5"/>
    <w:rsid w:val="00E05F8D"/>
    <w:rsid w:val="00E064F7"/>
    <w:rsid w:val="00E0686B"/>
    <w:rsid w:val="00E0741D"/>
    <w:rsid w:val="00E07983"/>
    <w:rsid w:val="00E11FE5"/>
    <w:rsid w:val="00E13BFE"/>
    <w:rsid w:val="00E16270"/>
    <w:rsid w:val="00E17553"/>
    <w:rsid w:val="00E17562"/>
    <w:rsid w:val="00E200D3"/>
    <w:rsid w:val="00E24D72"/>
    <w:rsid w:val="00E31BD9"/>
    <w:rsid w:val="00E40717"/>
    <w:rsid w:val="00E41C58"/>
    <w:rsid w:val="00E41F15"/>
    <w:rsid w:val="00E4302D"/>
    <w:rsid w:val="00E469C6"/>
    <w:rsid w:val="00E53FAF"/>
    <w:rsid w:val="00E55026"/>
    <w:rsid w:val="00E602E8"/>
    <w:rsid w:val="00E61C2F"/>
    <w:rsid w:val="00E64F40"/>
    <w:rsid w:val="00E7006D"/>
    <w:rsid w:val="00E7229D"/>
    <w:rsid w:val="00E77AD4"/>
    <w:rsid w:val="00E8394B"/>
    <w:rsid w:val="00E86966"/>
    <w:rsid w:val="00E8722B"/>
    <w:rsid w:val="00E90139"/>
    <w:rsid w:val="00E97A25"/>
    <w:rsid w:val="00EA64C6"/>
    <w:rsid w:val="00EB5EDE"/>
    <w:rsid w:val="00EB6BBA"/>
    <w:rsid w:val="00EB73DE"/>
    <w:rsid w:val="00EC3D49"/>
    <w:rsid w:val="00EC5389"/>
    <w:rsid w:val="00ED2792"/>
    <w:rsid w:val="00ED4BBB"/>
    <w:rsid w:val="00ED51AF"/>
    <w:rsid w:val="00ED5805"/>
    <w:rsid w:val="00ED63DA"/>
    <w:rsid w:val="00EE1972"/>
    <w:rsid w:val="00EE6940"/>
    <w:rsid w:val="00EF3CEF"/>
    <w:rsid w:val="00F01B10"/>
    <w:rsid w:val="00F05F90"/>
    <w:rsid w:val="00F12574"/>
    <w:rsid w:val="00F21B14"/>
    <w:rsid w:val="00F24968"/>
    <w:rsid w:val="00F25AD0"/>
    <w:rsid w:val="00F27B6B"/>
    <w:rsid w:val="00F40764"/>
    <w:rsid w:val="00F417C5"/>
    <w:rsid w:val="00F41C5E"/>
    <w:rsid w:val="00F4334A"/>
    <w:rsid w:val="00F43B7D"/>
    <w:rsid w:val="00F43DA4"/>
    <w:rsid w:val="00F44FD7"/>
    <w:rsid w:val="00F46CC5"/>
    <w:rsid w:val="00F5402E"/>
    <w:rsid w:val="00F63203"/>
    <w:rsid w:val="00F65FC9"/>
    <w:rsid w:val="00F72C42"/>
    <w:rsid w:val="00F7391A"/>
    <w:rsid w:val="00F7600E"/>
    <w:rsid w:val="00F76428"/>
    <w:rsid w:val="00F7668A"/>
    <w:rsid w:val="00F826EA"/>
    <w:rsid w:val="00F84DAD"/>
    <w:rsid w:val="00F86856"/>
    <w:rsid w:val="00F91FB7"/>
    <w:rsid w:val="00FA0D2B"/>
    <w:rsid w:val="00FA14E9"/>
    <w:rsid w:val="00FA55CF"/>
    <w:rsid w:val="00FB0412"/>
    <w:rsid w:val="00FB6919"/>
    <w:rsid w:val="00FB7860"/>
    <w:rsid w:val="00FC11F1"/>
    <w:rsid w:val="00FC2570"/>
    <w:rsid w:val="00FC3AC5"/>
    <w:rsid w:val="00FD0060"/>
    <w:rsid w:val="00FD2BC0"/>
    <w:rsid w:val="00FD4B41"/>
    <w:rsid w:val="00FE2DFD"/>
    <w:rsid w:val="00FE3AB9"/>
    <w:rsid w:val="00FE3B33"/>
    <w:rsid w:val="00FE569E"/>
    <w:rsid w:val="00FE7A2D"/>
    <w:rsid w:val="00FF1AD5"/>
    <w:rsid w:val="00FF312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6020"/>
  <w15:chartTrackingRefBased/>
  <w15:docId w15:val="{DEA2D8BA-FFF8-4EFE-BE98-0CF9F916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83"/>
  </w:style>
  <w:style w:type="paragraph" w:styleId="Heading1">
    <w:name w:val="heading 1"/>
    <w:basedOn w:val="Normal"/>
    <w:next w:val="Normal"/>
    <w:link w:val="Heading1Char"/>
    <w:uiPriority w:val="9"/>
    <w:qFormat/>
    <w:rsid w:val="00A21DB9"/>
    <w:pPr>
      <w:autoSpaceDE w:val="0"/>
      <w:autoSpaceDN w:val="0"/>
      <w:adjustRightInd w:val="0"/>
      <w:spacing w:after="0" w:line="240" w:lineRule="auto"/>
      <w:outlineLvl w:val="0"/>
    </w:pPr>
    <w:rPr>
      <w:rFonts w:ascii="Courier New" w:hAnsi="Courier New" w:cs="Courier New"/>
      <w:b/>
      <w:bCs/>
      <w:color w:val="000000"/>
      <w:sz w:val="32"/>
      <w:szCs w:val="32"/>
      <w:lang w:bidi="km-KH"/>
    </w:rPr>
  </w:style>
  <w:style w:type="paragraph" w:styleId="Heading2">
    <w:name w:val="heading 2"/>
    <w:basedOn w:val="Normal"/>
    <w:next w:val="Normal"/>
    <w:link w:val="Heading2Char"/>
    <w:uiPriority w:val="99"/>
    <w:qFormat/>
    <w:rsid w:val="00A21DB9"/>
    <w:pPr>
      <w:autoSpaceDE w:val="0"/>
      <w:autoSpaceDN w:val="0"/>
      <w:adjustRightInd w:val="0"/>
      <w:spacing w:after="0" w:line="240" w:lineRule="auto"/>
      <w:outlineLvl w:val="1"/>
    </w:pPr>
    <w:rPr>
      <w:rFonts w:ascii="Courier New" w:hAnsi="Courier New" w:cs="Courier New"/>
      <w:b/>
      <w:bCs/>
      <w:i/>
      <w:iCs/>
      <w:color w:val="000000"/>
      <w:sz w:val="28"/>
      <w:szCs w:val="28"/>
      <w:lang w:bidi="km-KH"/>
    </w:rPr>
  </w:style>
  <w:style w:type="paragraph" w:styleId="Heading3">
    <w:name w:val="heading 3"/>
    <w:basedOn w:val="Normal"/>
    <w:next w:val="Normal"/>
    <w:link w:val="Heading3Char"/>
    <w:uiPriority w:val="99"/>
    <w:qFormat/>
    <w:rsid w:val="00A21DB9"/>
    <w:pPr>
      <w:autoSpaceDE w:val="0"/>
      <w:autoSpaceDN w:val="0"/>
      <w:adjustRightInd w:val="0"/>
      <w:spacing w:after="0" w:line="240" w:lineRule="auto"/>
      <w:outlineLvl w:val="2"/>
    </w:pPr>
    <w:rPr>
      <w:rFonts w:ascii="Courier New" w:hAnsi="Courier New" w:cs="Courier New"/>
      <w:b/>
      <w:bCs/>
      <w:color w:val="000000"/>
      <w:sz w:val="26"/>
      <w:szCs w:val="26"/>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F40"/>
  </w:style>
  <w:style w:type="paragraph" w:styleId="Footer">
    <w:name w:val="footer"/>
    <w:basedOn w:val="Normal"/>
    <w:link w:val="FooterChar"/>
    <w:uiPriority w:val="99"/>
    <w:unhideWhenUsed/>
    <w:rsid w:val="00E64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F40"/>
  </w:style>
  <w:style w:type="paragraph" w:styleId="ListParagraph">
    <w:name w:val="List Paragraph"/>
    <w:basedOn w:val="Normal"/>
    <w:uiPriority w:val="34"/>
    <w:qFormat/>
    <w:rsid w:val="0044225F"/>
    <w:pPr>
      <w:ind w:left="720"/>
      <w:contextualSpacing/>
    </w:pPr>
  </w:style>
  <w:style w:type="paragraph" w:styleId="BalloonText">
    <w:name w:val="Balloon Text"/>
    <w:basedOn w:val="Normal"/>
    <w:link w:val="BalloonTextChar"/>
    <w:uiPriority w:val="99"/>
    <w:semiHidden/>
    <w:unhideWhenUsed/>
    <w:rsid w:val="00110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721"/>
    <w:rPr>
      <w:rFonts w:ascii="Segoe UI" w:hAnsi="Segoe UI" w:cs="Segoe UI"/>
      <w:sz w:val="18"/>
      <w:szCs w:val="18"/>
    </w:rPr>
  </w:style>
  <w:style w:type="character" w:customStyle="1" w:styleId="Heading1Char">
    <w:name w:val="Heading 1 Char"/>
    <w:basedOn w:val="DefaultParagraphFont"/>
    <w:link w:val="Heading1"/>
    <w:uiPriority w:val="9"/>
    <w:rsid w:val="00A21DB9"/>
    <w:rPr>
      <w:rFonts w:ascii="Courier New" w:hAnsi="Courier New" w:cs="Courier New"/>
      <w:b/>
      <w:bCs/>
      <w:color w:val="000000"/>
      <w:sz w:val="32"/>
      <w:szCs w:val="32"/>
      <w:lang w:bidi="km-KH"/>
    </w:rPr>
  </w:style>
  <w:style w:type="character" w:customStyle="1" w:styleId="Heading2Char">
    <w:name w:val="Heading 2 Char"/>
    <w:basedOn w:val="DefaultParagraphFont"/>
    <w:link w:val="Heading2"/>
    <w:uiPriority w:val="99"/>
    <w:rsid w:val="00A21DB9"/>
    <w:rPr>
      <w:rFonts w:ascii="Courier New" w:hAnsi="Courier New" w:cs="Courier New"/>
      <w:b/>
      <w:bCs/>
      <w:i/>
      <w:iCs/>
      <w:color w:val="000000"/>
      <w:sz w:val="28"/>
      <w:szCs w:val="28"/>
      <w:lang w:bidi="km-KH"/>
    </w:rPr>
  </w:style>
  <w:style w:type="character" w:customStyle="1" w:styleId="Heading3Char">
    <w:name w:val="Heading 3 Char"/>
    <w:basedOn w:val="DefaultParagraphFont"/>
    <w:link w:val="Heading3"/>
    <w:uiPriority w:val="99"/>
    <w:rsid w:val="00A21DB9"/>
    <w:rPr>
      <w:rFonts w:ascii="Courier New" w:hAnsi="Courier New" w:cs="Courier New"/>
      <w:b/>
      <w:bCs/>
      <w:color w:val="000000"/>
      <w:sz w:val="26"/>
      <w:szCs w:val="26"/>
      <w:lang w:bidi="km-KH"/>
    </w:rPr>
  </w:style>
  <w:style w:type="paragraph" w:customStyle="1" w:styleId="Default">
    <w:name w:val="Default"/>
    <w:rsid w:val="0063391E"/>
    <w:pPr>
      <w:autoSpaceDE w:val="0"/>
      <w:autoSpaceDN w:val="0"/>
      <w:adjustRightInd w:val="0"/>
      <w:spacing w:after="0" w:line="240" w:lineRule="auto"/>
    </w:pPr>
    <w:rPr>
      <w:rFonts w:ascii="Times New Roman" w:hAnsi="Times New Roman" w:cs="Times New Roman"/>
      <w:color w:val="000000"/>
      <w:sz w:val="24"/>
      <w:szCs w:val="24"/>
      <w:lang w:bidi="km-KH"/>
    </w:rPr>
  </w:style>
  <w:style w:type="character" w:styleId="Hyperlink">
    <w:name w:val="Hyperlink"/>
    <w:basedOn w:val="DefaultParagraphFont"/>
    <w:uiPriority w:val="99"/>
    <w:unhideWhenUsed/>
    <w:rsid w:val="00A059F1"/>
    <w:rPr>
      <w:color w:val="0563C1" w:themeColor="hyperlink"/>
      <w:u w:val="single"/>
    </w:rPr>
  </w:style>
  <w:style w:type="character" w:styleId="UnresolvedMention">
    <w:name w:val="Unresolved Mention"/>
    <w:basedOn w:val="DefaultParagraphFont"/>
    <w:uiPriority w:val="99"/>
    <w:semiHidden/>
    <w:unhideWhenUsed/>
    <w:rsid w:val="00A059F1"/>
    <w:rPr>
      <w:color w:val="605E5C"/>
      <w:shd w:val="clear" w:color="auto" w:fill="E1DFDD"/>
    </w:rPr>
  </w:style>
  <w:style w:type="paragraph" w:styleId="FootnoteText">
    <w:name w:val="footnote text"/>
    <w:basedOn w:val="Normal"/>
    <w:link w:val="FootnoteTextChar"/>
    <w:uiPriority w:val="99"/>
    <w:unhideWhenUsed/>
    <w:rsid w:val="009B716D"/>
    <w:pPr>
      <w:spacing w:after="0" w:line="240" w:lineRule="auto"/>
    </w:pPr>
    <w:rPr>
      <w:sz w:val="20"/>
      <w:szCs w:val="20"/>
    </w:rPr>
  </w:style>
  <w:style w:type="character" w:customStyle="1" w:styleId="FootnoteTextChar">
    <w:name w:val="Footnote Text Char"/>
    <w:basedOn w:val="DefaultParagraphFont"/>
    <w:link w:val="FootnoteText"/>
    <w:uiPriority w:val="99"/>
    <w:rsid w:val="009B716D"/>
    <w:rPr>
      <w:sz w:val="20"/>
      <w:szCs w:val="20"/>
    </w:rPr>
  </w:style>
  <w:style w:type="character" w:styleId="FootnoteReference">
    <w:name w:val="footnote reference"/>
    <w:basedOn w:val="DefaultParagraphFont"/>
    <w:uiPriority w:val="99"/>
    <w:semiHidden/>
    <w:unhideWhenUsed/>
    <w:rsid w:val="007B6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aweb.org/what-is-school-heal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ong.heang@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A95C-BA90-0A4A-A7DD-BD3CF3D6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6089</Words>
  <Characters>34709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 Songheang</cp:lastModifiedBy>
  <cp:revision>2</cp:revision>
  <cp:lastPrinted>2023-11-14T10:28:00Z</cp:lastPrinted>
  <dcterms:created xsi:type="dcterms:W3CDTF">2024-10-14T03:43:00Z</dcterms:created>
  <dcterms:modified xsi:type="dcterms:W3CDTF">2024-10-14T03:43:00Z</dcterms:modified>
</cp:coreProperties>
</file>