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818BD" w14:textId="77777777" w:rsidR="00700872" w:rsidRPr="004D2FA2" w:rsidRDefault="00700872" w:rsidP="00700872">
      <w:pPr>
        <w:jc w:val="center"/>
        <w:rPr>
          <w:rFonts w:ascii="Times New Roman" w:hAnsi="Times New Roman" w:cs="Times New Roman"/>
          <w:b/>
          <w:bCs/>
          <w:szCs w:val="24"/>
        </w:rPr>
      </w:pPr>
      <w:r w:rsidRPr="004D2FA2">
        <w:rPr>
          <w:rFonts w:ascii="Times New Roman" w:eastAsia="SimSun" w:hAnsi="Times New Roman" w:cs="Times New Roman"/>
          <w:b/>
          <w:bCs/>
          <w:iCs/>
          <w:color w:val="000000"/>
          <w:kern w:val="0"/>
          <w:szCs w:val="24"/>
        </w:rPr>
        <w:t xml:space="preserve">Report </w:t>
      </w:r>
    </w:p>
    <w:p w14:paraId="7E3AD563" w14:textId="2C1FDB28" w:rsidR="0045074B" w:rsidRPr="004D2FA2" w:rsidRDefault="00000000">
      <w:pPr>
        <w:snapToGrid w:val="0"/>
        <w:spacing w:beforeLines="30" w:before="72" w:afterLines="30" w:after="72" w:line="500" w:lineRule="exact"/>
        <w:jc w:val="center"/>
        <w:rPr>
          <w:rFonts w:ascii="Times New Roman" w:eastAsia="SimSun" w:hAnsi="Times New Roman" w:cs="Times New Roman"/>
          <w:b/>
          <w:bCs/>
          <w:color w:val="000000"/>
          <w:kern w:val="0"/>
          <w:szCs w:val="24"/>
        </w:rPr>
      </w:pPr>
      <w:r w:rsidRPr="004D2FA2">
        <w:rPr>
          <w:rFonts w:ascii="Times New Roman" w:eastAsia="SimSun" w:hAnsi="Times New Roman" w:cs="Times New Roman"/>
          <w:b/>
          <w:bCs/>
          <w:color w:val="000000"/>
          <w:kern w:val="0"/>
          <w:szCs w:val="24"/>
        </w:rPr>
        <w:t>China-Southeast Asia Capacity Building Workshop</w:t>
      </w:r>
    </w:p>
    <w:p w14:paraId="32194302" w14:textId="77777777" w:rsidR="0045074B" w:rsidRPr="004D2FA2" w:rsidRDefault="00000000">
      <w:pPr>
        <w:jc w:val="center"/>
        <w:rPr>
          <w:rFonts w:ascii="Times New Roman" w:eastAsia="SimSun" w:hAnsi="Times New Roman" w:cs="Times New Roman"/>
          <w:i/>
          <w:iCs/>
          <w:color w:val="000000"/>
          <w:kern w:val="0"/>
          <w:szCs w:val="24"/>
        </w:rPr>
      </w:pPr>
      <w:r w:rsidRPr="004D2FA2">
        <w:rPr>
          <w:rFonts w:ascii="Times New Roman" w:eastAsia="SimSun" w:hAnsi="Times New Roman" w:cs="Times New Roman"/>
          <w:i/>
          <w:iCs/>
          <w:color w:val="000000"/>
          <w:kern w:val="0"/>
          <w:szCs w:val="24"/>
        </w:rPr>
        <w:t>Transforming Learning for Sustainable Rural Development</w:t>
      </w:r>
    </w:p>
    <w:p w14:paraId="58E8D73B" w14:textId="51CD7655" w:rsidR="0045074B" w:rsidRPr="004D2FA2" w:rsidRDefault="00B31B3B">
      <w:pPr>
        <w:jc w:val="center"/>
        <w:rPr>
          <w:rFonts w:ascii="Times New Roman" w:eastAsia="SimSun" w:hAnsi="Times New Roman" w:cs="Times New Roman"/>
          <w:b/>
          <w:bCs/>
          <w:iCs/>
          <w:color w:val="000000"/>
          <w:kern w:val="0"/>
          <w:szCs w:val="24"/>
        </w:rPr>
      </w:pPr>
      <w:r w:rsidRPr="004D2FA2">
        <w:rPr>
          <w:rFonts w:ascii="Times New Roman" w:eastAsia="SimSun" w:hAnsi="Times New Roman" w:cs="Times New Roman"/>
          <w:b/>
          <w:bCs/>
          <w:iCs/>
          <w:color w:val="000000"/>
          <w:kern w:val="0"/>
          <w:szCs w:val="24"/>
        </w:rPr>
        <w:t>Beijing, 16</w:t>
      </w:r>
      <w:r w:rsidR="000D092A" w:rsidRPr="004D2FA2">
        <w:rPr>
          <w:rFonts w:ascii="Times New Roman" w:eastAsia="SimSun" w:hAnsi="Times New Roman" w:cs="Times New Roman"/>
          <w:b/>
          <w:bCs/>
          <w:iCs/>
          <w:color w:val="000000"/>
          <w:kern w:val="0"/>
          <w:szCs w:val="24"/>
        </w:rPr>
        <w:t>-19</w:t>
      </w:r>
      <w:r w:rsidRPr="004D2FA2">
        <w:rPr>
          <w:rFonts w:ascii="Times New Roman" w:eastAsia="SimSun" w:hAnsi="Times New Roman" w:cs="Times New Roman"/>
          <w:b/>
          <w:bCs/>
          <w:iCs/>
          <w:color w:val="000000"/>
          <w:kern w:val="0"/>
          <w:szCs w:val="24"/>
        </w:rPr>
        <w:t xml:space="preserve"> June 2025</w:t>
      </w:r>
    </w:p>
    <w:p w14:paraId="5AF25A73" w14:textId="77777777" w:rsidR="007B6D68" w:rsidRDefault="007B6D68">
      <w:pPr>
        <w:jc w:val="center"/>
        <w:rPr>
          <w:rFonts w:ascii="Calibri" w:eastAsia="SimSun" w:hAnsi="Calibri" w:cs="Calibri"/>
          <w:b/>
          <w:bCs/>
          <w:iCs/>
          <w:color w:val="000000"/>
          <w:kern w:val="0"/>
          <w:szCs w:val="28"/>
        </w:rPr>
      </w:pPr>
    </w:p>
    <w:p w14:paraId="6B09BA9B" w14:textId="620C4FF7" w:rsidR="007B6D68" w:rsidRPr="007B6D68" w:rsidRDefault="007B6D68" w:rsidP="007B6D68">
      <w:pPr>
        <w:pStyle w:val="ListParagraph"/>
        <w:numPr>
          <w:ilvl w:val="0"/>
          <w:numId w:val="12"/>
        </w:numPr>
        <w:ind w:left="360"/>
        <w:jc w:val="both"/>
        <w:rPr>
          <w:rFonts w:ascii="Times New Roman" w:hAnsi="Times New Roman" w:cs="Times New Roman"/>
          <w:b/>
          <w:bCs/>
          <w:szCs w:val="24"/>
        </w:rPr>
      </w:pPr>
      <w:r w:rsidRPr="007B6D68">
        <w:rPr>
          <w:rFonts w:ascii="Times New Roman" w:hAnsi="Times New Roman" w:cs="Times New Roman"/>
          <w:b/>
          <w:bCs/>
          <w:szCs w:val="24"/>
        </w:rPr>
        <w:t>Intr</w:t>
      </w:r>
      <w:r>
        <w:rPr>
          <w:rFonts w:ascii="Times New Roman" w:hAnsi="Times New Roman" w:cs="Times New Roman"/>
          <w:b/>
          <w:bCs/>
          <w:szCs w:val="24"/>
        </w:rPr>
        <w:t xml:space="preserve">oduction </w:t>
      </w:r>
    </w:p>
    <w:p w14:paraId="4EA311E9" w14:textId="017AE2BC" w:rsidR="007B6D68" w:rsidRPr="00C51C5D" w:rsidRDefault="007B6D68" w:rsidP="00903F66">
      <w:pPr>
        <w:snapToGrid w:val="0"/>
        <w:spacing w:beforeLines="30" w:before="72" w:afterLines="30" w:after="72" w:line="240" w:lineRule="auto"/>
        <w:jc w:val="both"/>
        <w:rPr>
          <w:rFonts w:ascii="Times New Roman" w:eastAsia="SimSun" w:hAnsi="Times New Roman" w:cs="Times New Roman"/>
          <w:szCs w:val="24"/>
        </w:rPr>
      </w:pPr>
      <w:r w:rsidRPr="00C51C5D">
        <w:rPr>
          <w:rFonts w:ascii="Times New Roman" w:eastAsia="SimSun" w:hAnsi="Times New Roman" w:cs="Times New Roman"/>
          <w:szCs w:val="24"/>
        </w:rPr>
        <w:t xml:space="preserve">The United Nations Secretary-General’s Transforming Education Summit (2022) reaffirmed global commitments to advancing inclusive, resilient, and future-oriented learning systems. Governments pledged to strengthen investments in lifelong learning, technical and vocational education and training (TVET), and skills development to meet evolving </w:t>
      </w:r>
      <w:proofErr w:type="spellStart"/>
      <w:r w:rsidRPr="00C51C5D">
        <w:rPr>
          <w:rFonts w:ascii="Times New Roman" w:eastAsia="SimSun" w:hAnsi="Times New Roman" w:cs="Times New Roman"/>
          <w:szCs w:val="24"/>
        </w:rPr>
        <w:t>labour</w:t>
      </w:r>
      <w:proofErr w:type="spellEnd"/>
      <w:r w:rsidRPr="00C51C5D">
        <w:rPr>
          <w:rFonts w:ascii="Times New Roman" w:eastAsia="SimSun" w:hAnsi="Times New Roman" w:cs="Times New Roman"/>
          <w:szCs w:val="24"/>
        </w:rPr>
        <w:t xml:space="preserve"> market demands and support transitions to green and digital economies. </w:t>
      </w:r>
      <w:r w:rsidR="00903F66">
        <w:rPr>
          <w:rFonts w:ascii="Times New Roman" w:eastAsia="SimSun" w:hAnsi="Times New Roman" w:cs="Times New Roman"/>
          <w:szCs w:val="24"/>
        </w:rPr>
        <w:t xml:space="preserve"> </w:t>
      </w:r>
      <w:r w:rsidRPr="00C51C5D">
        <w:rPr>
          <w:rFonts w:ascii="Times New Roman" w:eastAsia="SimSun" w:hAnsi="Times New Roman" w:cs="Times New Roman"/>
          <w:szCs w:val="24"/>
        </w:rPr>
        <w:t xml:space="preserve">The Marrakech Framework for Action, adopted at the Seventh International Conference on Adult Education (CONFINTEA VII), underscores the critical role of lifelong learning in fostering social inclusion and economic growth. It calls for high-quality adult education aligned with </w:t>
      </w:r>
      <w:proofErr w:type="spellStart"/>
      <w:r w:rsidRPr="00C51C5D">
        <w:rPr>
          <w:rFonts w:ascii="Times New Roman" w:eastAsia="SimSun" w:hAnsi="Times New Roman" w:cs="Times New Roman"/>
          <w:szCs w:val="24"/>
        </w:rPr>
        <w:t>labour</w:t>
      </w:r>
      <w:proofErr w:type="spellEnd"/>
      <w:r w:rsidRPr="00C51C5D">
        <w:rPr>
          <w:rFonts w:ascii="Times New Roman" w:eastAsia="SimSun" w:hAnsi="Times New Roman" w:cs="Times New Roman"/>
          <w:szCs w:val="24"/>
        </w:rPr>
        <w:t xml:space="preserve"> market needs, ensuring that all individuals, particularly those from </w:t>
      </w:r>
      <w:r w:rsidR="00F627E1" w:rsidRPr="00C51C5D">
        <w:rPr>
          <w:rFonts w:ascii="Times New Roman" w:eastAsia="SimSun" w:hAnsi="Times New Roman" w:cs="Times New Roman"/>
          <w:szCs w:val="24"/>
        </w:rPr>
        <w:t>marginalized</w:t>
      </w:r>
      <w:r w:rsidRPr="00C51C5D">
        <w:rPr>
          <w:rFonts w:ascii="Times New Roman" w:eastAsia="SimSun" w:hAnsi="Times New Roman" w:cs="Times New Roman"/>
          <w:szCs w:val="24"/>
        </w:rPr>
        <w:t xml:space="preserve"> communities, have access to education and sustainable livelihoods. Additionally, UNESCO’s TVET Strategy 2022–2029 </w:t>
      </w:r>
      <w:r w:rsidR="00F627E1" w:rsidRPr="00C51C5D">
        <w:rPr>
          <w:rFonts w:ascii="Times New Roman" w:eastAsia="SimSun" w:hAnsi="Times New Roman" w:cs="Times New Roman"/>
          <w:szCs w:val="24"/>
        </w:rPr>
        <w:t>prioritizes</w:t>
      </w:r>
      <w:r w:rsidRPr="00C51C5D">
        <w:rPr>
          <w:rFonts w:ascii="Times New Roman" w:eastAsia="SimSun" w:hAnsi="Times New Roman" w:cs="Times New Roman"/>
          <w:szCs w:val="24"/>
        </w:rPr>
        <w:t xml:space="preserve"> equipping individuals with skills for learning, work, and life, with a focus on green and digital transitions and the promotion of inclusive and peaceful societies. These global initiatives provide essential policy guidance and practical frameworks to advance lifelong learning and skills development worldwide. </w:t>
      </w:r>
    </w:p>
    <w:p w14:paraId="228BDBD8" w14:textId="0C1C5F77" w:rsidR="007B6D68" w:rsidRPr="00C51C5D" w:rsidRDefault="00C51C5D" w:rsidP="00903F66">
      <w:pPr>
        <w:snapToGrid w:val="0"/>
        <w:spacing w:beforeLines="30" w:before="72" w:afterLines="30" w:after="72" w:line="240" w:lineRule="auto"/>
        <w:jc w:val="both"/>
        <w:rPr>
          <w:rFonts w:ascii="Times New Roman" w:eastAsia="SimSun" w:hAnsi="Times New Roman" w:cs="Times New Roman"/>
          <w:szCs w:val="24"/>
        </w:rPr>
      </w:pPr>
      <w:r w:rsidRPr="00C51C5D">
        <w:rPr>
          <w:rFonts w:ascii="Times New Roman" w:eastAsia="SimSun" w:hAnsi="Times New Roman" w:cs="Times New Roman"/>
          <w:szCs w:val="24"/>
        </w:rPr>
        <w:t>Recognizing</w:t>
      </w:r>
      <w:r w:rsidR="007B6D68" w:rsidRPr="00C51C5D">
        <w:rPr>
          <w:rFonts w:ascii="Times New Roman" w:eastAsia="SimSun" w:hAnsi="Times New Roman" w:cs="Times New Roman"/>
          <w:szCs w:val="24"/>
        </w:rPr>
        <w:t xml:space="preserve"> the shared challenges and opportunities in skills development and lifelong learning, the UNESCO International Research and Training Centre for Rural Education (INRULED), in collaboration with the Southeast Asian Ministers of Education </w:t>
      </w:r>
      <w:r w:rsidR="00F627E1" w:rsidRPr="00C51C5D">
        <w:rPr>
          <w:rFonts w:ascii="Times New Roman" w:eastAsia="SimSun" w:hAnsi="Times New Roman" w:cs="Times New Roman"/>
          <w:szCs w:val="24"/>
        </w:rPr>
        <w:t>Organization</w:t>
      </w:r>
      <w:r w:rsidR="007B6D68" w:rsidRPr="00C51C5D">
        <w:rPr>
          <w:rFonts w:ascii="Times New Roman" w:eastAsia="SimSun" w:hAnsi="Times New Roman" w:cs="Times New Roman"/>
          <w:szCs w:val="24"/>
        </w:rPr>
        <w:t xml:space="preserve"> Regional Centre for Technical Education Development (SEAMEO TED), the China Education Association for International Exchange (CEAIE), the ASEAN-China Center (ACC), and other local partners, is organizing the China-Southeast Asia Capacity Building Workshop under the theme “</w:t>
      </w:r>
      <w:r w:rsidR="007B6D68" w:rsidRPr="00C51C5D">
        <w:rPr>
          <w:rFonts w:ascii="Times New Roman" w:eastAsia="SimSun" w:hAnsi="Times New Roman" w:cs="Times New Roman"/>
          <w:i/>
          <w:iCs/>
          <w:color w:val="000000"/>
          <w:kern w:val="0"/>
          <w:sz w:val="28"/>
          <w:szCs w:val="28"/>
        </w:rPr>
        <w:t xml:space="preserve">Transforming Learning for Sustainable Rural Development”. This workshop is </w:t>
      </w:r>
      <w:r w:rsidR="007B6D68" w:rsidRPr="00C51C5D">
        <w:rPr>
          <w:rFonts w:ascii="Times New Roman" w:eastAsia="SimSun" w:hAnsi="Times New Roman" w:cs="Times New Roman"/>
          <w:szCs w:val="24"/>
        </w:rPr>
        <w:t>a platform for policymakers and practitioners from Southeast Asian countries and China to exchange knowledge, share best practices, and explore collaborative solutions</w:t>
      </w:r>
      <w:r w:rsidR="00A824F4">
        <w:rPr>
          <w:rFonts w:ascii="Times New Roman" w:eastAsia="SimSun" w:hAnsi="Times New Roman" w:cs="Times New Roman"/>
          <w:szCs w:val="24"/>
        </w:rPr>
        <w:t xml:space="preserve"> on TVET, adult education and lifelong learning. </w:t>
      </w:r>
    </w:p>
    <w:p w14:paraId="0E78DEF8" w14:textId="77777777" w:rsidR="007B6D68" w:rsidRDefault="007B6D68">
      <w:pPr>
        <w:jc w:val="center"/>
        <w:rPr>
          <w:rFonts w:ascii="Calibri" w:eastAsia="SimSun" w:hAnsi="Calibri" w:cs="Calibri"/>
          <w:b/>
          <w:bCs/>
          <w:iCs/>
          <w:color w:val="000000"/>
          <w:kern w:val="0"/>
          <w:szCs w:val="28"/>
        </w:rPr>
      </w:pPr>
    </w:p>
    <w:p w14:paraId="498DE24F" w14:textId="47E92F22" w:rsidR="0045074B" w:rsidRPr="00D67615" w:rsidRDefault="00000000" w:rsidP="00D67615">
      <w:pPr>
        <w:pStyle w:val="ListParagraph"/>
        <w:numPr>
          <w:ilvl w:val="0"/>
          <w:numId w:val="12"/>
        </w:numPr>
        <w:ind w:left="360"/>
        <w:jc w:val="both"/>
        <w:rPr>
          <w:rFonts w:ascii="Times New Roman" w:hAnsi="Times New Roman" w:cs="Times New Roman"/>
          <w:b/>
          <w:bCs/>
          <w:szCs w:val="24"/>
        </w:rPr>
      </w:pPr>
      <w:r w:rsidRPr="00D67615">
        <w:rPr>
          <w:rFonts w:ascii="Times New Roman" w:hAnsi="Times New Roman" w:cs="Times New Roman"/>
          <w:b/>
          <w:bCs/>
          <w:szCs w:val="24"/>
        </w:rPr>
        <w:t>Opening Session</w:t>
      </w:r>
    </w:p>
    <w:p w14:paraId="632FBE8C" w14:textId="0AF8FCA2" w:rsidR="0045074B" w:rsidRDefault="00000000">
      <w:pPr>
        <w:numPr>
          <w:ilvl w:val="0"/>
          <w:numId w:val="1"/>
        </w:numPr>
        <w:spacing w:after="0" w:line="240" w:lineRule="auto"/>
        <w:contextualSpacing/>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Prof. ZHOU </w:t>
      </w:r>
      <w:proofErr w:type="spellStart"/>
      <w:r>
        <w:rPr>
          <w:rFonts w:ascii="Times New Roman" w:eastAsia="DengXian" w:hAnsi="Times New Roman" w:cs="Times New Roman"/>
          <w:color w:val="000000"/>
          <w:kern w:val="0"/>
          <w:szCs w:val="24"/>
          <w:lang w:bidi="ar"/>
        </w:rPr>
        <w:t>Zuoyu</w:t>
      </w:r>
      <w:proofErr w:type="spellEnd"/>
      <w:r>
        <w:rPr>
          <w:rFonts w:ascii="Times New Roman" w:eastAsia="DengXian" w:hAnsi="Times New Roman" w:cs="Times New Roman"/>
          <w:color w:val="000000"/>
          <w:kern w:val="0"/>
          <w:szCs w:val="24"/>
          <w:lang w:bidi="ar"/>
        </w:rPr>
        <w:t>, Vice Chairman of Beijing Normal University Council, Director of UNESCO INRULED</w:t>
      </w:r>
    </w:p>
    <w:p w14:paraId="39ADF67F" w14:textId="4E9B91E7" w:rsidR="0045074B" w:rsidRDefault="0045074B">
      <w:pPr>
        <w:spacing w:after="0" w:line="240" w:lineRule="auto"/>
        <w:jc w:val="both"/>
        <w:rPr>
          <w:rFonts w:ascii="Times New Roman" w:eastAsia="DengXian" w:hAnsi="Times New Roman" w:cs="Times New Roman"/>
          <w:color w:val="000000"/>
          <w:kern w:val="0"/>
          <w:szCs w:val="24"/>
          <w:highlight w:val="yellow"/>
          <w:lang w:bidi="ar"/>
        </w:rPr>
      </w:pPr>
    </w:p>
    <w:p w14:paraId="61D646B8" w14:textId="75D6BDA9"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Extend a warmest welcome to all education professionals from Southeast Asia and China joining the workshop</w:t>
      </w:r>
    </w:p>
    <w:p w14:paraId="7463DFDA" w14:textId="5514F6B0"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Adult learning and technical and vocational education </w:t>
      </w:r>
      <w:r w:rsidR="00F627E1">
        <w:rPr>
          <w:rFonts w:ascii="Times New Roman" w:eastAsia="DengXian" w:hAnsi="Times New Roman" w:cs="Times New Roman"/>
          <w:color w:val="000000"/>
          <w:kern w:val="0"/>
          <w:szCs w:val="24"/>
          <w:lang w:bidi="ar"/>
        </w:rPr>
        <w:t>demonstrate</w:t>
      </w:r>
      <w:r>
        <w:rPr>
          <w:rFonts w:ascii="Times New Roman" w:eastAsia="DengXian" w:hAnsi="Times New Roman" w:cs="Times New Roman"/>
          <w:color w:val="000000"/>
          <w:kern w:val="0"/>
          <w:szCs w:val="24"/>
          <w:lang w:bidi="ar"/>
        </w:rPr>
        <w:t xml:space="preserve"> transformative potential for confronting the intensifying climate change, demographic shifts, and rapid digital transformation, humanity faces unprecedented systemic challenges</w:t>
      </w:r>
    </w:p>
    <w:p w14:paraId="368F9453" w14:textId="64565A2D"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lastRenderedPageBreak/>
        <w:t xml:space="preserve">To advance global sustainable development, inclusive lifelong learning systems must be built to offer flexible pathways and diverse modalities to meet learners’ needs across all ages. </w:t>
      </w:r>
    </w:p>
    <w:p w14:paraId="3D39FDCF" w14:textId="3B862B94"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Targeted skills training, retraining, and upskilling can empower rural workers to adapt to dynamic labor markets, foster employment and entrepreneurship, harness opportunities in the green and dig</w:t>
      </w:r>
    </w:p>
    <w:p w14:paraId="77708D62" w14:textId="25F7B4B0" w:rsidR="004B0A90" w:rsidRDefault="004B0A90">
      <w:pPr>
        <w:spacing w:after="0" w:line="240" w:lineRule="auto"/>
        <w:contextualSpacing/>
        <w:jc w:val="both"/>
        <w:rPr>
          <w:rFonts w:ascii="Times New Roman" w:eastAsia="DengXian" w:hAnsi="Times New Roman" w:cs="Times New Roman"/>
          <w:color w:val="000000"/>
          <w:kern w:val="0"/>
          <w:szCs w:val="24"/>
          <w:highlight w:val="yellow"/>
          <w:lang w:bidi="ar"/>
        </w:rPr>
      </w:pPr>
    </w:p>
    <w:p w14:paraId="40BFDAE7" w14:textId="536DFCBE" w:rsidR="0045074B" w:rsidRDefault="00000000">
      <w:pPr>
        <w:numPr>
          <w:ilvl w:val="0"/>
          <w:numId w:val="1"/>
        </w:numPr>
        <w:spacing w:after="0" w:line="240" w:lineRule="auto"/>
        <w:contextualSpacing/>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H.E. Mr. SHI </w:t>
      </w:r>
      <w:proofErr w:type="spellStart"/>
      <w:r>
        <w:rPr>
          <w:rFonts w:ascii="Times New Roman" w:eastAsia="DengXian" w:hAnsi="Times New Roman" w:cs="Times New Roman"/>
          <w:color w:val="000000"/>
          <w:kern w:val="0"/>
          <w:szCs w:val="24"/>
          <w:lang w:bidi="ar"/>
        </w:rPr>
        <w:t>Zhongjun</w:t>
      </w:r>
      <w:proofErr w:type="spellEnd"/>
      <w:r>
        <w:rPr>
          <w:rFonts w:ascii="Times New Roman" w:eastAsia="DengXian" w:hAnsi="Times New Roman" w:cs="Times New Roman"/>
          <w:color w:val="000000"/>
          <w:kern w:val="0"/>
          <w:szCs w:val="24"/>
          <w:lang w:bidi="ar"/>
        </w:rPr>
        <w:t xml:space="preserve">, Secretary-General of the ASEAN-China Centre (ACC) </w:t>
      </w:r>
    </w:p>
    <w:p w14:paraId="1B3D9634" w14:textId="77777777" w:rsidR="0045074B" w:rsidRDefault="0045074B">
      <w:pPr>
        <w:spacing w:after="0" w:line="240" w:lineRule="auto"/>
        <w:contextualSpacing/>
        <w:jc w:val="both"/>
        <w:rPr>
          <w:rFonts w:ascii="Times New Roman" w:eastAsia="DengXian" w:hAnsi="Times New Roman" w:cs="Times New Roman"/>
          <w:color w:val="000000"/>
          <w:kern w:val="0"/>
          <w:szCs w:val="24"/>
          <w:lang w:bidi="ar"/>
        </w:rPr>
      </w:pPr>
    </w:p>
    <w:p w14:paraId="24B80AE8" w14:textId="720F0FEB"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6 LUBAN workshops have been set up in ASEAN countries</w:t>
      </w:r>
    </w:p>
    <w:p w14:paraId="43871ABB" w14:textId="3AE088D9"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China ASEAN potential collaboration in digital transformation and technologies </w:t>
      </w:r>
    </w:p>
    <w:p w14:paraId="31195778" w14:textId="3B721AE6"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TVET is the priority and </w:t>
      </w:r>
      <w:r w:rsidR="00F627E1">
        <w:rPr>
          <w:rFonts w:ascii="Times New Roman" w:eastAsia="DengXian" w:hAnsi="Times New Roman" w:cs="Times New Roman"/>
          <w:color w:val="000000"/>
          <w:kern w:val="0"/>
          <w:szCs w:val="24"/>
          <w:lang w:bidi="ar"/>
        </w:rPr>
        <w:t>students,</w:t>
      </w:r>
      <w:r>
        <w:rPr>
          <w:rFonts w:ascii="Times New Roman" w:eastAsia="DengXian" w:hAnsi="Times New Roman" w:cs="Times New Roman"/>
          <w:color w:val="000000"/>
          <w:kern w:val="0"/>
          <w:szCs w:val="24"/>
          <w:lang w:bidi="ar"/>
        </w:rPr>
        <w:t xml:space="preserve"> and institutional exchange shall be encouraged. </w:t>
      </w:r>
    </w:p>
    <w:p w14:paraId="343D60C6" w14:textId="4FB09BA8"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Today workshop bring policy makers from ASEAN and China to discus and share the impact of TVET and </w:t>
      </w:r>
      <w:r w:rsidR="00F627E1">
        <w:rPr>
          <w:rFonts w:ascii="Times New Roman" w:eastAsia="DengXian" w:hAnsi="Times New Roman" w:cs="Times New Roman"/>
          <w:color w:val="000000"/>
          <w:kern w:val="0"/>
          <w:szCs w:val="24"/>
          <w:lang w:bidi="ar"/>
        </w:rPr>
        <w:t>Lifelong</w:t>
      </w:r>
      <w:r>
        <w:rPr>
          <w:rFonts w:ascii="Times New Roman" w:eastAsia="DengXian" w:hAnsi="Times New Roman" w:cs="Times New Roman"/>
          <w:color w:val="000000"/>
          <w:kern w:val="0"/>
          <w:szCs w:val="24"/>
          <w:lang w:bidi="ar"/>
        </w:rPr>
        <w:t xml:space="preserve"> Learning, Adult Education which are very crucial for the future of regional education agenda</w:t>
      </w:r>
    </w:p>
    <w:p w14:paraId="31B65F07"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Inter-Governmental collaboration strategies are to be more innovative and synergistic to support ASEAN-China partnership </w:t>
      </w:r>
    </w:p>
    <w:p w14:paraId="3C6853E1" w14:textId="72A2D314" w:rsidR="0045074B" w:rsidRDefault="0045074B">
      <w:pPr>
        <w:spacing w:after="0" w:line="240" w:lineRule="auto"/>
        <w:contextualSpacing/>
        <w:jc w:val="both"/>
        <w:rPr>
          <w:rFonts w:ascii="Times New Roman" w:eastAsia="DengXian" w:hAnsi="Times New Roman" w:cs="Times New Roman"/>
          <w:color w:val="000000"/>
          <w:kern w:val="0"/>
          <w:szCs w:val="24"/>
          <w:highlight w:val="yellow"/>
          <w:lang w:bidi="ar"/>
        </w:rPr>
      </w:pPr>
    </w:p>
    <w:p w14:paraId="0966AB65" w14:textId="77777777" w:rsidR="0045074B" w:rsidRDefault="00000000">
      <w:pPr>
        <w:numPr>
          <w:ilvl w:val="0"/>
          <w:numId w:val="1"/>
        </w:numPr>
        <w:spacing w:after="0" w:line="240" w:lineRule="auto"/>
        <w:contextualSpacing/>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Dr. AN Yan, Deputy Secretary-General, China Education Association for International Exchange (CEAIE)</w:t>
      </w:r>
    </w:p>
    <w:p w14:paraId="42C9EE33" w14:textId="77777777" w:rsidR="0045074B" w:rsidRDefault="0045074B">
      <w:pPr>
        <w:spacing w:after="0" w:line="240" w:lineRule="auto"/>
        <w:contextualSpacing/>
        <w:jc w:val="both"/>
        <w:rPr>
          <w:rFonts w:ascii="Times New Roman" w:eastAsia="DengXian" w:hAnsi="Times New Roman" w:cs="Times New Roman"/>
          <w:color w:val="000000"/>
          <w:kern w:val="0"/>
          <w:szCs w:val="24"/>
          <w:highlight w:val="yellow"/>
          <w:lang w:bidi="ar"/>
        </w:rPr>
      </w:pPr>
    </w:p>
    <w:p w14:paraId="57C3F052" w14:textId="329CB99D"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Under the Regional Comprehensive Economic Partnership framework, bilateral trade and investment between China and ASEAN continue to expand, injecting robust momentum into regional economic development</w:t>
      </w:r>
    </w:p>
    <w:p w14:paraId="12E752CF" w14:textId="79215C2C"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In recent years, guided by our shared vision of building a </w:t>
      </w:r>
      <w:r>
        <w:rPr>
          <w:rFonts w:ascii="Times New Roman" w:eastAsia="DengXian" w:hAnsi="Times New Roman" w:cs="Times New Roman"/>
          <w:i/>
          <w:iCs/>
          <w:color w:val="000000"/>
          <w:kern w:val="0"/>
          <w:szCs w:val="24"/>
          <w:lang w:bidi="ar"/>
        </w:rPr>
        <w:t>China-ASEAN Vocational Education Community</w:t>
      </w:r>
      <w:r>
        <w:rPr>
          <w:rFonts w:ascii="Times New Roman" w:eastAsia="DengXian" w:hAnsi="Times New Roman" w:cs="Times New Roman"/>
          <w:color w:val="000000"/>
          <w:kern w:val="0"/>
          <w:szCs w:val="24"/>
          <w:lang w:bidi="ar"/>
        </w:rPr>
        <w:t>, we have actively exchanged experiences in using vocational education to reduce poverty, revitalize rural areas, and drive industrial transformation</w:t>
      </w:r>
    </w:p>
    <w:p w14:paraId="4F607A95" w14:textId="62DC3BFC"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This workshop, themed "Capacity Building for Transformative Learning in Rural Development," addresses critical issues in rural education and development.</w:t>
      </w:r>
    </w:p>
    <w:p w14:paraId="434B867D"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For ASEAN nations, bridging the urban-rural education gap and promoting rural development are equally urgent tasks</w:t>
      </w:r>
    </w:p>
    <w:p w14:paraId="43733384" w14:textId="4827C481"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CEAIE looks forward to working with INRULED, the SEAMEO Regional Centre for Vocational and Technical Education Development (SEAMEO VOCTECH), and other partners to leverage our collective strengths, share best practices, seize opportunities, and advance China-Southeast Asia vocational education cooperation. Together, we can contribute to achieving the UN 2030 Sustainable Development Goals.</w:t>
      </w:r>
    </w:p>
    <w:p w14:paraId="358C1B15" w14:textId="15796356" w:rsidR="0045074B" w:rsidRDefault="0045074B" w:rsidP="004904EE">
      <w:pPr>
        <w:pStyle w:val="ListParagraph"/>
        <w:spacing w:after="0" w:line="240" w:lineRule="auto"/>
        <w:ind w:left="1440"/>
        <w:jc w:val="both"/>
        <w:rPr>
          <w:rFonts w:ascii="Times New Roman" w:eastAsia="DengXian" w:hAnsi="Times New Roman" w:cs="Times New Roman"/>
          <w:color w:val="000000"/>
          <w:kern w:val="0"/>
          <w:szCs w:val="24"/>
          <w:lang w:bidi="ar"/>
        </w:rPr>
      </w:pPr>
    </w:p>
    <w:p w14:paraId="5AF7BD15" w14:textId="3390F1E0" w:rsidR="0045074B" w:rsidRDefault="00000000">
      <w:pPr>
        <w:numPr>
          <w:ilvl w:val="0"/>
          <w:numId w:val="1"/>
        </w:numPr>
        <w:spacing w:after="0" w:line="240" w:lineRule="auto"/>
        <w:contextualSpacing/>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Prof. Shahbaz Khan, Director of the UNESCO Regional Office for East Asia (Video Address)</w:t>
      </w:r>
    </w:p>
    <w:p w14:paraId="6D1DC144" w14:textId="6F469076" w:rsidR="0045074B" w:rsidRDefault="0045074B">
      <w:pPr>
        <w:spacing w:after="0" w:line="240" w:lineRule="auto"/>
        <w:contextualSpacing/>
        <w:jc w:val="both"/>
        <w:rPr>
          <w:rFonts w:ascii="Times New Roman" w:eastAsia="DengXian" w:hAnsi="Times New Roman" w:cs="Times New Roman"/>
          <w:color w:val="000000"/>
          <w:kern w:val="0"/>
          <w:szCs w:val="24"/>
          <w:highlight w:val="yellow"/>
          <w:lang w:bidi="ar"/>
        </w:rPr>
      </w:pPr>
    </w:p>
    <w:p w14:paraId="298C4A76" w14:textId="4D396B7F"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As outlined in the ​​United Nations Sustainable Development Goal 4 and the ​​2030 Agenda​​, we recognize that inclusive, equitable education is the cornerstone of sustainable development.</w:t>
      </w:r>
    </w:p>
    <w:p w14:paraId="061154FB" w14:textId="41AE9EE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This workshop highlights innovative models: China’s ​​Dual Learning System​​ (blending classroom and workplace training) and Southeast Asia’s community-driven TVET approaches.</w:t>
      </w:r>
    </w:p>
    <w:p w14:paraId="61F5D8EE" w14:textId="65022F7B"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lastRenderedPageBreak/>
        <w:t>This workshop, we will witness inspiring examples and practices which reflect the guiding principles of adaptability, inclusivity, and resilience in transforming learning for sustainable rural development</w:t>
      </w:r>
    </w:p>
    <w:p w14:paraId="362A115E" w14:textId="0B7E5AC7" w:rsidR="00670A96" w:rsidRPr="00D67615" w:rsidRDefault="00000000" w:rsidP="00670A96">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sidRPr="00D67615">
        <w:rPr>
          <w:rFonts w:ascii="Times New Roman" w:eastAsia="DengXian" w:hAnsi="Times New Roman" w:cs="Times New Roman"/>
          <w:color w:val="000000"/>
          <w:kern w:val="0"/>
          <w:szCs w:val="24"/>
          <w:lang w:bidi="ar"/>
        </w:rPr>
        <w:t>The ​​decades-long partnership between UNESCO and INRULED​​. As UNESCO’s specialized institute for rural education, INRULED has been instrumental in driving innovation across Asia.</w:t>
      </w:r>
    </w:p>
    <w:p w14:paraId="36A8577D" w14:textId="096D3FDD" w:rsidR="00670A96" w:rsidRDefault="008B3DB6" w:rsidP="00670A96">
      <w:pPr>
        <w:pStyle w:val="ListParagraph"/>
        <w:spacing w:after="0" w:line="240" w:lineRule="auto"/>
        <w:ind w:left="1440"/>
        <w:jc w:val="both"/>
        <w:rPr>
          <w:rFonts w:ascii="Times New Roman" w:eastAsia="DengXian" w:hAnsi="Times New Roman" w:cs="Times New Roman"/>
          <w:color w:val="000000"/>
          <w:kern w:val="0"/>
          <w:szCs w:val="24"/>
          <w:highlight w:val="yellow"/>
          <w:lang w:bidi="ar"/>
        </w:rPr>
      </w:pPr>
      <w:r>
        <w:rPr>
          <w:rFonts w:ascii="Times New Roman" w:eastAsia="DengXian" w:hAnsi="Times New Roman" w:cs="Times New Roman"/>
          <w:noProof/>
          <w:color w:val="000000"/>
          <w:kern w:val="0"/>
          <w:szCs w:val="24"/>
          <w:lang w:bidi="ar"/>
        </w:rPr>
        <w:drawing>
          <wp:anchor distT="0" distB="0" distL="114300" distR="114300" simplePos="0" relativeHeight="251665408" behindDoc="0" locked="0" layoutInCell="1" allowOverlap="1" wp14:anchorId="423CEB9A" wp14:editId="17314E48">
            <wp:simplePos x="0" y="0"/>
            <wp:positionH relativeFrom="column">
              <wp:posOffset>-914400</wp:posOffset>
            </wp:positionH>
            <wp:positionV relativeFrom="paragraph">
              <wp:posOffset>196215</wp:posOffset>
            </wp:positionV>
            <wp:extent cx="7734300" cy="3627000"/>
            <wp:effectExtent l="0" t="0" r="0" b="0"/>
            <wp:wrapSquare wrapText="bothSides"/>
            <wp:docPr id="6" name="Picture 6" descr="FA9A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9A2954"/>
                    <pic:cNvPicPr>
                      <a:picLocks noChangeAspect="1"/>
                    </pic:cNvPicPr>
                  </pic:nvPicPr>
                  <pic:blipFill rotWithShape="1">
                    <a:blip r:embed="rId8"/>
                    <a:srcRect t="16175" b="13498"/>
                    <a:stretch>
                      <a:fillRect/>
                    </a:stretch>
                  </pic:blipFill>
                  <pic:spPr bwMode="auto">
                    <a:xfrm>
                      <a:off x="0" y="0"/>
                      <a:ext cx="7734300" cy="362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173BD" w14:textId="77777777" w:rsidR="008B3DB6" w:rsidRDefault="008B3DB6" w:rsidP="008B3DB6">
      <w:pPr>
        <w:pStyle w:val="ListParagraph"/>
        <w:ind w:left="360"/>
        <w:jc w:val="both"/>
        <w:rPr>
          <w:rFonts w:ascii="Times New Roman" w:hAnsi="Times New Roman" w:cs="Times New Roman"/>
          <w:b/>
          <w:bCs/>
          <w:szCs w:val="24"/>
        </w:rPr>
      </w:pPr>
    </w:p>
    <w:p w14:paraId="429DDE55" w14:textId="3F37C445" w:rsidR="0045074B" w:rsidRDefault="00000000" w:rsidP="00D67615">
      <w:pPr>
        <w:pStyle w:val="ListParagraph"/>
        <w:numPr>
          <w:ilvl w:val="0"/>
          <w:numId w:val="12"/>
        </w:numPr>
        <w:ind w:left="360"/>
        <w:jc w:val="both"/>
        <w:rPr>
          <w:rFonts w:ascii="Times New Roman" w:hAnsi="Times New Roman" w:cs="Times New Roman"/>
          <w:b/>
          <w:bCs/>
          <w:szCs w:val="24"/>
        </w:rPr>
      </w:pPr>
      <w:r w:rsidRPr="00D67615">
        <w:rPr>
          <w:rFonts w:ascii="Times New Roman" w:hAnsi="Times New Roman" w:cs="Times New Roman"/>
          <w:b/>
          <w:bCs/>
          <w:szCs w:val="24"/>
        </w:rPr>
        <w:t>Keynote presentation</w:t>
      </w:r>
    </w:p>
    <w:p w14:paraId="56A52F40" w14:textId="77777777" w:rsidR="001F2C0D" w:rsidRPr="001F2C0D" w:rsidRDefault="001F2C0D" w:rsidP="001F2C0D">
      <w:pPr>
        <w:ind w:firstLine="360"/>
        <w:rPr>
          <w:rFonts w:ascii="Times New Roman" w:eastAsia="SimSun" w:hAnsi="Times New Roman" w:cs="Times New Roman"/>
          <w:b/>
          <w:iCs/>
          <w:sz w:val="22"/>
        </w:rPr>
      </w:pPr>
      <w:r w:rsidRPr="001F2C0D">
        <w:rPr>
          <w:rFonts w:ascii="Times New Roman" w:eastAsia="SimSun" w:hAnsi="Times New Roman" w:cs="Times New Roman"/>
          <w:b/>
          <w:iCs/>
          <w:kern w:val="0"/>
          <w:sz w:val="22"/>
          <w:lang w:bidi="ar"/>
        </w:rPr>
        <w:t>Moderator: Dr ZHAO Yuchi, Executive Director of UNESCO INRULED</w:t>
      </w:r>
    </w:p>
    <w:p w14:paraId="3D674676" w14:textId="77777777" w:rsidR="0045074B" w:rsidRDefault="00000000">
      <w:pPr>
        <w:numPr>
          <w:ilvl w:val="0"/>
          <w:numId w:val="1"/>
        </w:numPr>
        <w:spacing w:after="0" w:line="240" w:lineRule="auto"/>
        <w:contextualSpacing/>
        <w:jc w:val="both"/>
        <w:rPr>
          <w:rFonts w:ascii="Times New Roman" w:eastAsia="DengXian" w:hAnsi="Times New Roman" w:cs="Times New Roman"/>
          <w:color w:val="000000"/>
          <w:kern w:val="0"/>
          <w:szCs w:val="24"/>
        </w:rPr>
      </w:pPr>
      <w:r>
        <w:rPr>
          <w:rFonts w:ascii="Times New Roman" w:eastAsia="DengXian" w:hAnsi="Times New Roman" w:cs="Times New Roman"/>
          <w:color w:val="000000"/>
          <w:kern w:val="0"/>
          <w:szCs w:val="24"/>
          <w:lang w:bidi="ar"/>
        </w:rPr>
        <w:t xml:space="preserve">Mr. LI </w:t>
      </w:r>
      <w:proofErr w:type="spellStart"/>
      <w:r>
        <w:rPr>
          <w:rFonts w:ascii="Times New Roman" w:eastAsia="DengXian" w:hAnsi="Times New Roman" w:cs="Times New Roman"/>
          <w:color w:val="000000"/>
          <w:kern w:val="0"/>
          <w:szCs w:val="24"/>
          <w:lang w:bidi="ar"/>
        </w:rPr>
        <w:t>Yingli</w:t>
      </w:r>
      <w:proofErr w:type="spellEnd"/>
      <w:r>
        <w:rPr>
          <w:rFonts w:ascii="Times New Roman" w:eastAsia="DengXian" w:hAnsi="Times New Roman" w:cs="Times New Roman"/>
          <w:color w:val="000000"/>
          <w:kern w:val="0"/>
          <w:szCs w:val="24"/>
          <w:lang w:bidi="ar"/>
        </w:rPr>
        <w:t>, Deputy Director-General, Department of Vocational and Adult Education, the Ministry of Education of the People’s Republic of China shared a national policy overview, shared China’s strategies, and framed collaborative aims for TVET in rural contexts.</w:t>
      </w:r>
    </w:p>
    <w:p w14:paraId="3E06DFB4" w14:textId="77777777" w:rsidR="0045074B" w:rsidRDefault="0045074B">
      <w:pPr>
        <w:spacing w:after="0" w:line="240" w:lineRule="auto"/>
        <w:contextualSpacing/>
        <w:jc w:val="both"/>
        <w:rPr>
          <w:rFonts w:ascii="Times New Roman" w:eastAsia="DengXian" w:hAnsi="Times New Roman" w:cs="Times New Roman"/>
          <w:color w:val="000000"/>
          <w:kern w:val="0"/>
          <w:szCs w:val="24"/>
          <w:lang w:bidi="ar"/>
        </w:rPr>
      </w:pPr>
    </w:p>
    <w:p w14:paraId="28C0D721"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Key Highlighted Points</w:t>
      </w:r>
    </w:p>
    <w:p w14:paraId="0909E58F"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Policy Leadership in Vocational Learning</w:t>
      </w:r>
      <w:r>
        <w:rPr>
          <w:rFonts w:ascii="Times New Roman" w:eastAsia="Times New Roman" w:hAnsi="Times New Roman" w:cs="Times New Roman"/>
          <w:kern w:val="0"/>
          <w:szCs w:val="24"/>
          <w14:ligatures w14:val="none"/>
        </w:rPr>
        <w:br/>
        <w:t>As MOE Deputy, Mr. Li </w:t>
      </w:r>
      <w:proofErr w:type="spellStart"/>
      <w:r>
        <w:rPr>
          <w:rFonts w:ascii="Times New Roman" w:eastAsia="Times New Roman" w:hAnsi="Times New Roman" w:cs="Times New Roman"/>
          <w:kern w:val="0"/>
          <w:szCs w:val="24"/>
          <w14:ligatures w14:val="none"/>
        </w:rPr>
        <w:t>Yingli</w:t>
      </w:r>
      <w:proofErr w:type="spellEnd"/>
      <w:r>
        <w:rPr>
          <w:rFonts w:ascii="Times New Roman" w:eastAsia="Times New Roman" w:hAnsi="Times New Roman" w:cs="Times New Roman"/>
          <w:kern w:val="0"/>
          <w:szCs w:val="24"/>
          <w14:ligatures w14:val="none"/>
        </w:rPr>
        <w:t xml:space="preserve"> outlined China’s national roadmap for skills education to support rural revitalization—highlighting institutional leadership and regulatory support.</w:t>
      </w:r>
    </w:p>
    <w:p w14:paraId="5BB846E2"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TVET &amp; Adult Learning for Sustainability</w:t>
      </w:r>
      <w:r>
        <w:rPr>
          <w:rFonts w:ascii="Times New Roman" w:eastAsia="Times New Roman" w:hAnsi="Times New Roman" w:cs="Times New Roman"/>
          <w:kern w:val="0"/>
          <w:szCs w:val="24"/>
          <w14:ligatures w14:val="none"/>
        </w:rPr>
        <w:br/>
        <w:t>Emphasized the dual focus on vocational and adult learning (ALE) to advance green, resilient, and inclusive rural communities.</w:t>
      </w:r>
    </w:p>
    <w:p w14:paraId="4784452F"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Digital &amp; Green Transition in Rural TVET</w:t>
      </w:r>
      <w:r>
        <w:rPr>
          <w:rFonts w:ascii="Times New Roman" w:eastAsia="Times New Roman" w:hAnsi="Times New Roman" w:cs="Times New Roman"/>
          <w:kern w:val="0"/>
          <w:szCs w:val="24"/>
          <w14:ligatures w14:val="none"/>
        </w:rPr>
        <w:br/>
        <w:t xml:space="preserve">Stressed integrating digital tools (e-learning, remote labs) and green </w:t>
      </w:r>
      <w:r>
        <w:rPr>
          <w:rFonts w:ascii="Times New Roman" w:eastAsia="Times New Roman" w:hAnsi="Times New Roman" w:cs="Times New Roman"/>
          <w:kern w:val="0"/>
          <w:szCs w:val="24"/>
          <w14:ligatures w14:val="none"/>
        </w:rPr>
        <w:lastRenderedPageBreak/>
        <w:t>technologies into rural vocational programs to modernize agricultural practices and promote environmental sustainability.</w:t>
      </w:r>
    </w:p>
    <w:p w14:paraId="385F0A4B"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Cross</w:t>
      </w:r>
      <w:r>
        <w:rPr>
          <w:rFonts w:ascii="Times New Roman" w:eastAsia="Times New Roman" w:hAnsi="Times New Roman" w:cs="Times New Roman"/>
          <w:kern w:val="0"/>
          <w:szCs w:val="24"/>
          <w14:ligatures w14:val="none"/>
        </w:rPr>
        <w:noBreakHyphen/>
        <w:t>Border Collaboration</w:t>
      </w:r>
      <w:r>
        <w:rPr>
          <w:rFonts w:ascii="Times New Roman" w:eastAsia="Times New Roman" w:hAnsi="Times New Roman" w:cs="Times New Roman"/>
          <w:kern w:val="0"/>
          <w:szCs w:val="24"/>
          <w14:ligatures w14:val="none"/>
        </w:rPr>
        <w:br/>
        <w:t>Highlighted the importance of cooperation between China and ASEAN nations in sharing best practices and building capacity via collaborative field learning and joint policy development</w:t>
      </w:r>
    </w:p>
    <w:p w14:paraId="311AC081"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Bridging Theory and Practice</w:t>
      </w:r>
      <w:r>
        <w:rPr>
          <w:rFonts w:ascii="Times New Roman" w:eastAsia="Times New Roman" w:hAnsi="Times New Roman" w:cs="Times New Roman"/>
          <w:kern w:val="0"/>
          <w:szCs w:val="24"/>
          <w14:ligatures w14:val="none"/>
        </w:rPr>
        <w:br/>
        <w:t>Advocated for strategies that link TVET curricula with local economic and social needs, ensuring practical, context-aware training for rural learners.</w:t>
      </w:r>
    </w:p>
    <w:p w14:paraId="6A57E5DC"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Key Takeaways</w:t>
      </w:r>
    </w:p>
    <w:p w14:paraId="491A1053" w14:textId="77777777" w:rsidR="0045074B" w:rsidRDefault="00000000">
      <w:pPr>
        <w:numPr>
          <w:ilvl w:val="3"/>
          <w:numId w:val="3"/>
        </w:numPr>
        <w:spacing w:before="100" w:beforeAutospacing="1" w:after="100" w:afterAutospacing="1" w:line="240" w:lineRule="auto"/>
        <w:ind w:left="2160"/>
        <w:jc w:val="both"/>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China’s MOE is prioritizing vocational education as a vehicle for rural transformation, providing direction, funding, and institutional support.</w:t>
      </w:r>
    </w:p>
    <w:p w14:paraId="07F10D1C" w14:textId="6F6576A9" w:rsidR="0045074B" w:rsidRDefault="00000000">
      <w:pPr>
        <w:numPr>
          <w:ilvl w:val="3"/>
          <w:numId w:val="3"/>
        </w:numPr>
        <w:spacing w:before="100" w:beforeAutospacing="1" w:after="100" w:afterAutospacing="1" w:line="240" w:lineRule="auto"/>
        <w:ind w:left="2160"/>
        <w:jc w:val="both"/>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 xml:space="preserve">Sustainability requires not only initial vocational </w:t>
      </w:r>
      <w:r w:rsidR="00F627E1">
        <w:rPr>
          <w:rFonts w:ascii="Times New Roman" w:eastAsia="Times New Roman" w:hAnsi="Times New Roman" w:cs="Times New Roman"/>
          <w:kern w:val="0"/>
          <w:szCs w:val="24"/>
          <w14:ligatures w14:val="none"/>
        </w:rPr>
        <w:t>training,</w:t>
      </w:r>
      <w:r>
        <w:rPr>
          <w:rFonts w:ascii="Times New Roman" w:eastAsia="Times New Roman" w:hAnsi="Times New Roman" w:cs="Times New Roman"/>
          <w:kern w:val="0"/>
          <w:szCs w:val="24"/>
          <w14:ligatures w14:val="none"/>
        </w:rPr>
        <w:t xml:space="preserve"> but ongoing adult education tailored to evolving rural economies.</w:t>
      </w:r>
    </w:p>
    <w:p w14:paraId="45908D30" w14:textId="77777777" w:rsidR="0045074B" w:rsidRDefault="00000000">
      <w:pPr>
        <w:numPr>
          <w:ilvl w:val="3"/>
          <w:numId w:val="3"/>
        </w:numPr>
        <w:spacing w:before="100" w:beforeAutospacing="1" w:after="100" w:afterAutospacing="1" w:line="240" w:lineRule="auto"/>
        <w:ind w:left="2160"/>
        <w:jc w:val="both"/>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Modern rural TVET must equip learners with both digital competencies and environmentally friendly practices to foster resilient livelihoods.</w:t>
      </w:r>
    </w:p>
    <w:p w14:paraId="5585561C" w14:textId="77777777" w:rsidR="0045074B" w:rsidRDefault="00000000">
      <w:pPr>
        <w:numPr>
          <w:ilvl w:val="3"/>
          <w:numId w:val="3"/>
        </w:numPr>
        <w:spacing w:before="100" w:beforeAutospacing="1" w:after="100" w:afterAutospacing="1" w:line="240" w:lineRule="auto"/>
        <w:ind w:left="2160"/>
        <w:jc w:val="both"/>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Mutual learning across China and Southeast Asia enhances the effectiveness of rural TVET, fostering policy innovation, regional coherence, and shared capacity.</w:t>
      </w:r>
    </w:p>
    <w:p w14:paraId="77454AAF" w14:textId="77777777" w:rsidR="0045074B" w:rsidRDefault="00000000">
      <w:pPr>
        <w:numPr>
          <w:ilvl w:val="3"/>
          <w:numId w:val="3"/>
        </w:numPr>
        <w:spacing w:before="100" w:beforeAutospacing="1" w:after="100" w:afterAutospacing="1" w:line="240" w:lineRule="auto"/>
        <w:ind w:left="2160"/>
        <w:jc w:val="both"/>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Programs aligned with specific regional industries and cultural contexts yield greater relevance and impact in rural communities.</w:t>
      </w:r>
    </w:p>
    <w:p w14:paraId="384F0599" w14:textId="77777777" w:rsidR="0045074B" w:rsidRDefault="00000000">
      <w:pPr>
        <w:numPr>
          <w:ilvl w:val="0"/>
          <w:numId w:val="1"/>
        </w:numPr>
        <w:spacing w:after="0" w:line="240" w:lineRule="auto"/>
        <w:contextualSpacing/>
        <w:jc w:val="both"/>
        <w:rPr>
          <w:rFonts w:ascii="Times New Roman" w:eastAsia="DengXian" w:hAnsi="Times New Roman" w:cs="Times New Roman"/>
          <w:color w:val="000000"/>
          <w:kern w:val="0"/>
          <w:szCs w:val="24"/>
          <w14:ligatures w14:val="none"/>
        </w:rPr>
      </w:pPr>
      <w:r>
        <w:rPr>
          <w:rFonts w:ascii="Times New Roman" w:eastAsia="DengXian" w:hAnsi="Times New Roman" w:cs="Times New Roman"/>
          <w:color w:val="000000"/>
          <w:kern w:val="0"/>
          <w:szCs w:val="24"/>
          <w14:ligatures w14:val="none"/>
        </w:rPr>
        <w:t>Dr. YUAN Ying, Lecturer of School of Journalism and Communication, Beijing Normal University shared about the Empowering Rural Revitalization through Digital Intelligence</w:t>
      </w:r>
    </w:p>
    <w:p w14:paraId="4A969952" w14:textId="77777777" w:rsidR="0045074B" w:rsidRDefault="0045074B">
      <w:pPr>
        <w:spacing w:after="0" w:line="240" w:lineRule="auto"/>
        <w:ind w:left="720"/>
        <w:contextualSpacing/>
        <w:jc w:val="both"/>
        <w:rPr>
          <w:rFonts w:ascii="Times New Roman" w:eastAsia="DengXian" w:hAnsi="Times New Roman" w:cs="Times New Roman"/>
          <w:color w:val="000000"/>
          <w:kern w:val="0"/>
          <w:szCs w:val="24"/>
          <w14:ligatures w14:val="none"/>
        </w:rPr>
      </w:pPr>
    </w:p>
    <w:p w14:paraId="0E84B75C"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The presentation is rooted in China’s national strategy to eliminate poverty and ensure equitable education across rural and impoverished areas. Following directives from President Xi Jinping, particularly focused on Liangshan Yi Autonomous Prefecture, this initiative positions education—especially digital literacy—as a cornerstone of rural revitalization.</w:t>
      </w:r>
    </w:p>
    <w:p w14:paraId="147AEC5D" w14:textId="77777777" w:rsidR="0045074B" w:rsidRDefault="0045074B">
      <w:pPr>
        <w:pStyle w:val="ListParagraph"/>
        <w:spacing w:after="0" w:line="240" w:lineRule="auto"/>
        <w:ind w:left="1440"/>
        <w:jc w:val="both"/>
        <w:rPr>
          <w:rFonts w:ascii="Times New Roman" w:eastAsia="DengXian" w:hAnsi="Times New Roman" w:cs="Times New Roman"/>
          <w:color w:val="000000"/>
          <w:kern w:val="0"/>
          <w:szCs w:val="24"/>
          <w:lang w:bidi="ar"/>
        </w:rPr>
      </w:pPr>
    </w:p>
    <w:p w14:paraId="4ACA5824"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Key Highlighted Points</w:t>
      </w:r>
    </w:p>
    <w:p w14:paraId="4FA44B4C"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Policy Alignment with National Goals:</w:t>
      </w:r>
      <w:r>
        <w:rPr>
          <w:rFonts w:ascii="Times New Roman" w:eastAsia="Times New Roman" w:hAnsi="Times New Roman" w:cs="Times New Roman"/>
          <w:kern w:val="0"/>
          <w:szCs w:val="24"/>
          <w14:ligatures w14:val="none"/>
        </w:rPr>
        <w:br/>
        <w:t>Grounded in Xi Jinping’s strategy for poverty eradication via education and digital empowerment.</w:t>
      </w:r>
    </w:p>
    <w:p w14:paraId="6CE983DD"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Three-Pillar Framework:</w:t>
      </w:r>
      <w:r>
        <w:rPr>
          <w:rFonts w:ascii="Times New Roman" w:eastAsia="Times New Roman" w:hAnsi="Times New Roman" w:cs="Times New Roman"/>
          <w:kern w:val="0"/>
          <w:szCs w:val="24"/>
          <w14:ligatures w14:val="none"/>
        </w:rPr>
        <w:br/>
        <w:t>“New Literacy,” “New Curriculum,” and “New Vision” guiding structured, scalable implementation.</w:t>
      </w:r>
    </w:p>
    <w:p w14:paraId="5574ACA5"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Rural Media and Teacher Empowerment:</w:t>
      </w:r>
      <w:r>
        <w:rPr>
          <w:rFonts w:ascii="Times New Roman" w:eastAsia="Times New Roman" w:hAnsi="Times New Roman" w:cs="Times New Roman"/>
          <w:kern w:val="0"/>
          <w:szCs w:val="24"/>
          <w14:ligatures w14:val="none"/>
        </w:rPr>
        <w:br/>
        <w:t>Strengthening local storytelling and teaching capacity to fuel rural development narratives.</w:t>
      </w:r>
    </w:p>
    <w:p w14:paraId="78101D6A" w14:textId="77777777"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Multi-province Engagement &amp; Partnerships:</w:t>
      </w:r>
      <w:r>
        <w:rPr>
          <w:rFonts w:ascii="Times New Roman" w:eastAsia="Times New Roman" w:hAnsi="Times New Roman" w:cs="Times New Roman"/>
          <w:kern w:val="0"/>
          <w:szCs w:val="24"/>
          <w14:ligatures w14:val="none"/>
        </w:rPr>
        <w:br/>
        <w:t>Reaching across 5 provinces with cross-sector cooperation (e.g., Tencent, China Press Association).</w:t>
      </w:r>
    </w:p>
    <w:p w14:paraId="1D4565CB" w14:textId="36307B6A" w:rsidR="0045074B" w:rsidRDefault="00000000">
      <w:pPr>
        <w:numPr>
          <w:ilvl w:val="3"/>
          <w:numId w:val="3"/>
        </w:numPr>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lastRenderedPageBreak/>
        <w:t>Scalable Digital Literacy Models:</w:t>
      </w:r>
      <w:r>
        <w:rPr>
          <w:rFonts w:ascii="Times New Roman" w:eastAsia="Times New Roman" w:hAnsi="Times New Roman" w:cs="Times New Roman"/>
          <w:kern w:val="0"/>
          <w:szCs w:val="24"/>
          <w14:ligatures w14:val="none"/>
        </w:rPr>
        <w:br/>
        <w:t>Developed cloud-based and scenario-driven curricula, integrating AI and youth innovation challenges.</w:t>
      </w:r>
    </w:p>
    <w:p w14:paraId="0A5EE102" w14:textId="48C6ECB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Key Takeaways</w:t>
      </w:r>
    </w:p>
    <w:p w14:paraId="74EACF68" w14:textId="6CA471BC" w:rsidR="0045074B" w:rsidRDefault="00000000">
      <w:pPr>
        <w:numPr>
          <w:ilvl w:val="3"/>
          <w:numId w:val="3"/>
        </w:numPr>
        <w:tabs>
          <w:tab w:val="left" w:pos="720"/>
        </w:tabs>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Digital empowerment is a strategic tool in breaking intergenerational poverty in rural China.</w:t>
      </w:r>
    </w:p>
    <w:p w14:paraId="6F23C622" w14:textId="77777777" w:rsidR="0045074B" w:rsidRDefault="00000000">
      <w:pPr>
        <w:numPr>
          <w:ilvl w:val="3"/>
          <w:numId w:val="3"/>
        </w:numPr>
        <w:tabs>
          <w:tab w:val="left" w:pos="720"/>
        </w:tabs>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Collaborative, localized education initiatives—backed by policy and technology—can rapidly accelerate rural revitalization.</w:t>
      </w:r>
    </w:p>
    <w:p w14:paraId="4A750235" w14:textId="77777777" w:rsidR="0045074B" w:rsidRDefault="00000000">
      <w:pPr>
        <w:numPr>
          <w:ilvl w:val="3"/>
          <w:numId w:val="3"/>
        </w:numPr>
        <w:tabs>
          <w:tab w:val="left" w:pos="720"/>
        </w:tabs>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Youth engagement via digital storytelling strengthens cultural identity and connects communities to national narratives.</w:t>
      </w:r>
    </w:p>
    <w:p w14:paraId="05E28ED6" w14:textId="77777777" w:rsidR="0045074B" w:rsidRDefault="00000000">
      <w:pPr>
        <w:numPr>
          <w:ilvl w:val="3"/>
          <w:numId w:val="3"/>
        </w:numPr>
        <w:tabs>
          <w:tab w:val="left" w:pos="720"/>
        </w:tabs>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Multidisciplinary partnerships are critical to long-term success—blending education, journalism, technology, and policy.</w:t>
      </w:r>
    </w:p>
    <w:p w14:paraId="5F8E6A94" w14:textId="77777777" w:rsidR="0045074B" w:rsidRDefault="00000000">
      <w:pPr>
        <w:numPr>
          <w:ilvl w:val="3"/>
          <w:numId w:val="3"/>
        </w:numPr>
        <w:tabs>
          <w:tab w:val="left" w:pos="720"/>
        </w:tabs>
        <w:spacing w:before="100" w:beforeAutospacing="1" w:after="100" w:afterAutospacing="1" w:line="240" w:lineRule="auto"/>
        <w:ind w:left="2160"/>
        <w:rPr>
          <w:rFonts w:ascii="Times New Roman" w:eastAsia="Times New Roman" w:hAnsi="Times New Roman" w:cs="Times New Roman"/>
          <w:kern w:val="0"/>
          <w:szCs w:val="24"/>
          <w14:ligatures w14:val="none"/>
        </w:rPr>
      </w:pPr>
      <w:r>
        <w:rPr>
          <w:rFonts w:ascii="Times New Roman" w:eastAsia="Times New Roman" w:hAnsi="Times New Roman" w:cs="Times New Roman"/>
          <w:kern w:val="0"/>
          <w:szCs w:val="24"/>
          <w14:ligatures w14:val="none"/>
        </w:rPr>
        <w:t>The project serves as a national model for integrating education, technology, and rural development.</w:t>
      </w:r>
    </w:p>
    <w:p w14:paraId="759B8A80" w14:textId="77777777" w:rsidR="0045074B" w:rsidRDefault="00000000">
      <w:pPr>
        <w:pStyle w:val="ListParagraph"/>
        <w:numPr>
          <w:ilvl w:val="0"/>
          <w:numId w:val="1"/>
        </w:numPr>
        <w:jc w:val="both"/>
        <w:rPr>
          <w:rFonts w:ascii="Times New Roman" w:hAnsi="Times New Roman" w:cs="Times New Roman"/>
          <w:b/>
          <w:bCs/>
          <w:szCs w:val="24"/>
        </w:rPr>
      </w:pPr>
      <w:r>
        <w:rPr>
          <w:rFonts w:ascii="Times New Roman" w:eastAsia="Microsoft YaHei" w:hAnsi="Times New Roman" w:cs="Times New Roman"/>
          <w:color w:val="000000"/>
          <w:kern w:val="0"/>
          <w:szCs w:val="24"/>
          <w:lang w:eastAsia="zh"/>
          <w14:ligatures w14:val="none"/>
        </w:rPr>
        <w:t xml:space="preserve">Dr. ZHU Min, Associate Professor at the Institute of Vocational Education, Department of Education, East China Normal University; Principal Researcher of the ESD </w:t>
      </w:r>
      <w:proofErr w:type="spellStart"/>
      <w:r>
        <w:rPr>
          <w:rFonts w:ascii="Times New Roman" w:eastAsia="Microsoft YaHei" w:hAnsi="Times New Roman" w:cs="Times New Roman"/>
          <w:color w:val="000000"/>
          <w:kern w:val="0"/>
          <w:szCs w:val="24"/>
          <w:lang w:eastAsia="zh"/>
          <w14:ligatures w14:val="none"/>
        </w:rPr>
        <w:t>Programme</w:t>
      </w:r>
      <w:proofErr w:type="spellEnd"/>
      <w:r>
        <w:rPr>
          <w:rFonts w:ascii="Times New Roman" w:eastAsia="Microsoft YaHei" w:hAnsi="Times New Roman" w:cs="Times New Roman"/>
          <w:color w:val="000000"/>
          <w:kern w:val="0"/>
          <w:szCs w:val="24"/>
          <w:lang w:eastAsia="zh"/>
          <w14:ligatures w14:val="none"/>
        </w:rPr>
        <w:t xml:space="preserve">, </w:t>
      </w:r>
      <w:r>
        <w:rPr>
          <w:rFonts w:ascii="Times New Roman" w:eastAsia="Microsoft YaHei" w:hAnsi="Times New Roman" w:cs="Times New Roman"/>
          <w:b/>
          <w:bCs/>
          <w:color w:val="000000"/>
          <w:kern w:val="0"/>
          <w:szCs w:val="24"/>
          <w:lang w:eastAsia="zh"/>
          <w14:ligatures w14:val="none"/>
        </w:rPr>
        <w:t xml:space="preserve">Shanghai Municipal Institute for Lifelong Education: </w:t>
      </w:r>
      <w:r>
        <w:rPr>
          <w:rFonts w:ascii="Times New Roman" w:hAnsi="Times New Roman" w:cs="Times New Roman"/>
          <w:b/>
          <w:bCs/>
          <w:szCs w:val="24"/>
        </w:rPr>
        <w:t>Research Reflection and Practical Exploration on Green Talents in China</w:t>
      </w:r>
    </w:p>
    <w:p w14:paraId="6B1D4F6D" w14:textId="77777777" w:rsidR="0045074B" w:rsidRDefault="0045074B">
      <w:pPr>
        <w:pStyle w:val="ListParagraph"/>
        <w:jc w:val="both"/>
        <w:rPr>
          <w:rFonts w:ascii="Times New Roman" w:hAnsi="Times New Roman" w:cs="Times New Roman"/>
          <w:b/>
          <w:bCs/>
          <w:szCs w:val="24"/>
          <w:highlight w:val="yellow"/>
        </w:rPr>
      </w:pPr>
    </w:p>
    <w:p w14:paraId="5E7CFD69"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Key Highlighted Points</w:t>
      </w:r>
    </w:p>
    <w:p w14:paraId="7C1285E0" w14:textId="77777777" w:rsidR="0045074B" w:rsidRDefault="0045074B">
      <w:pPr>
        <w:pStyle w:val="ListParagraph"/>
        <w:spacing w:after="0" w:line="240" w:lineRule="auto"/>
        <w:ind w:left="1440"/>
        <w:jc w:val="both"/>
        <w:rPr>
          <w:rFonts w:ascii="Times New Roman" w:eastAsia="DengXian" w:hAnsi="Times New Roman" w:cs="Times New Roman"/>
          <w:color w:val="000000"/>
          <w:kern w:val="0"/>
          <w:szCs w:val="24"/>
          <w:lang w:bidi="ar"/>
        </w:rPr>
      </w:pPr>
    </w:p>
    <w:p w14:paraId="6DA6CF51" w14:textId="77777777" w:rsidR="0045074B" w:rsidRDefault="00000000">
      <w:pPr>
        <w:pStyle w:val="ListParagraph"/>
        <w:numPr>
          <w:ilvl w:val="1"/>
          <w:numId w:val="4"/>
        </w:numPr>
        <w:spacing w:after="0" w:line="240" w:lineRule="auto"/>
        <w:ind w:left="189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Policy Continuity &amp; Strategic Vision:</w:t>
      </w:r>
      <w:r>
        <w:rPr>
          <w:rFonts w:ascii="Times New Roman" w:eastAsia="DengXian" w:hAnsi="Times New Roman" w:cs="Times New Roman"/>
          <w:color w:val="000000"/>
          <w:kern w:val="0"/>
          <w:szCs w:val="24"/>
          <w:lang w:bidi="ar"/>
        </w:rPr>
        <w:br/>
        <w:t>China's long-term commitment to ecological development provides a strong framework for green talent cultivation.</w:t>
      </w:r>
    </w:p>
    <w:p w14:paraId="336C5AD3" w14:textId="77777777" w:rsidR="0045074B" w:rsidRDefault="00000000">
      <w:pPr>
        <w:pStyle w:val="ListParagraph"/>
        <w:numPr>
          <w:ilvl w:val="1"/>
          <w:numId w:val="4"/>
        </w:numPr>
        <w:spacing w:after="0" w:line="240" w:lineRule="auto"/>
        <w:ind w:left="189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Urgent Talent Gap:</w:t>
      </w:r>
      <w:r>
        <w:rPr>
          <w:rFonts w:ascii="Times New Roman" w:eastAsia="DengXian" w:hAnsi="Times New Roman" w:cs="Times New Roman"/>
          <w:color w:val="000000"/>
          <w:kern w:val="0"/>
          <w:szCs w:val="24"/>
          <w:lang w:bidi="ar"/>
        </w:rPr>
        <w:br/>
        <w:t>Growing demand for green skills far exceeds current educational supply—urgent upskilling is required across sectors.</w:t>
      </w:r>
    </w:p>
    <w:p w14:paraId="5EE528FE" w14:textId="77777777" w:rsidR="0045074B" w:rsidRDefault="00000000">
      <w:pPr>
        <w:pStyle w:val="ListParagraph"/>
        <w:numPr>
          <w:ilvl w:val="1"/>
          <w:numId w:val="4"/>
        </w:numPr>
        <w:spacing w:after="0" w:line="240" w:lineRule="auto"/>
        <w:ind w:left="189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VET as Green Skill Incubator:</w:t>
      </w:r>
      <w:r>
        <w:rPr>
          <w:rFonts w:ascii="Times New Roman" w:eastAsia="DengXian" w:hAnsi="Times New Roman" w:cs="Times New Roman"/>
          <w:color w:val="000000"/>
          <w:kern w:val="0"/>
          <w:szCs w:val="24"/>
          <w:lang w:bidi="ar"/>
        </w:rPr>
        <w:br/>
        <w:t>Vocational schools are pioneering curriculum transformation in green technology and industries.</w:t>
      </w:r>
    </w:p>
    <w:p w14:paraId="18627809" w14:textId="77777777" w:rsidR="0045074B" w:rsidRDefault="00000000">
      <w:pPr>
        <w:pStyle w:val="ListParagraph"/>
        <w:numPr>
          <w:ilvl w:val="1"/>
          <w:numId w:val="4"/>
        </w:numPr>
        <w:spacing w:after="0" w:line="240" w:lineRule="auto"/>
        <w:ind w:left="189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Shanghai's ESD Model:</w:t>
      </w:r>
      <w:r>
        <w:rPr>
          <w:rFonts w:ascii="Times New Roman" w:eastAsia="DengXian" w:hAnsi="Times New Roman" w:cs="Times New Roman"/>
          <w:color w:val="000000"/>
          <w:kern w:val="0"/>
          <w:szCs w:val="24"/>
          <w:lang w:bidi="ar"/>
        </w:rPr>
        <w:br/>
        <w:t>Practical, community-based models integrating universities, local governments, and industries in green education.</w:t>
      </w:r>
    </w:p>
    <w:p w14:paraId="14A3A9FE" w14:textId="77777777" w:rsidR="0045074B" w:rsidRDefault="00000000">
      <w:pPr>
        <w:pStyle w:val="ListParagraph"/>
        <w:numPr>
          <w:ilvl w:val="1"/>
          <w:numId w:val="4"/>
        </w:numPr>
        <w:spacing w:after="0" w:line="240" w:lineRule="auto"/>
        <w:ind w:left="189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Intergenerational and Localized Learning:</w:t>
      </w:r>
      <w:r>
        <w:rPr>
          <w:rFonts w:ascii="Times New Roman" w:eastAsia="DengXian" w:hAnsi="Times New Roman" w:cs="Times New Roman"/>
          <w:color w:val="000000"/>
          <w:kern w:val="0"/>
          <w:szCs w:val="24"/>
          <w:lang w:bidi="ar"/>
        </w:rPr>
        <w:br/>
        <w:t>Shanghai projects uniquely blend intergenerational learning and localized eco-practice, offering a replicable model.</w:t>
      </w:r>
    </w:p>
    <w:p w14:paraId="27B3DE30" w14:textId="77777777" w:rsidR="0045074B" w:rsidRDefault="00000000">
      <w:pPr>
        <w:pStyle w:val="ListParagraph"/>
        <w:numPr>
          <w:ilvl w:val="1"/>
          <w:numId w:val="2"/>
        </w:numPr>
        <w:spacing w:after="0" w:line="240" w:lineRule="auto"/>
        <w:jc w:val="both"/>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Key Take-Away Points</w:t>
      </w:r>
    </w:p>
    <w:p w14:paraId="00918B77" w14:textId="77777777" w:rsidR="0045074B" w:rsidRDefault="00000000">
      <w:pPr>
        <w:pStyle w:val="ListParagraph"/>
        <w:numPr>
          <w:ilvl w:val="1"/>
          <w:numId w:val="5"/>
        </w:numPr>
        <w:spacing w:after="0" w:line="240" w:lineRule="auto"/>
        <w:ind w:left="1800" w:hanging="27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Green talent is central to achieving national carbon and sustainability goals. It is not just a policy issue, but a workforce imperative.</w:t>
      </w:r>
    </w:p>
    <w:p w14:paraId="6AA00947" w14:textId="77777777" w:rsidR="0045074B" w:rsidRDefault="00000000">
      <w:pPr>
        <w:pStyle w:val="ListParagraph"/>
        <w:numPr>
          <w:ilvl w:val="1"/>
          <w:numId w:val="5"/>
        </w:numPr>
        <w:spacing w:after="0" w:line="240" w:lineRule="auto"/>
        <w:ind w:left="1800" w:hanging="27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Cross-sector collaboration and community engagement are key to promoting ecological literacy and fostering green values.</w:t>
      </w:r>
    </w:p>
    <w:p w14:paraId="1890D9B7" w14:textId="77777777" w:rsidR="0045074B" w:rsidRDefault="00000000">
      <w:pPr>
        <w:pStyle w:val="ListParagraph"/>
        <w:numPr>
          <w:ilvl w:val="1"/>
          <w:numId w:val="5"/>
        </w:numPr>
        <w:spacing w:after="0" w:line="240" w:lineRule="auto"/>
        <w:ind w:left="1800" w:hanging="27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 xml:space="preserve">Localized education programs create greater impact—tailoring content to region-specific industries (e.g., EV in </w:t>
      </w:r>
      <w:proofErr w:type="spellStart"/>
      <w:r>
        <w:rPr>
          <w:rFonts w:ascii="Times New Roman" w:eastAsia="DengXian" w:hAnsi="Times New Roman" w:cs="Times New Roman"/>
          <w:color w:val="000000"/>
          <w:kern w:val="0"/>
          <w:szCs w:val="24"/>
          <w:lang w:bidi="ar"/>
        </w:rPr>
        <w:t>Nanhu</w:t>
      </w:r>
      <w:proofErr w:type="spellEnd"/>
      <w:r>
        <w:rPr>
          <w:rFonts w:ascii="Times New Roman" w:eastAsia="DengXian" w:hAnsi="Times New Roman" w:cs="Times New Roman"/>
          <w:color w:val="000000"/>
          <w:kern w:val="0"/>
          <w:szCs w:val="24"/>
          <w:lang w:bidi="ar"/>
        </w:rPr>
        <w:t>, water in Pudong).</w:t>
      </w:r>
    </w:p>
    <w:p w14:paraId="07FCF629" w14:textId="6A83BD03" w:rsidR="0045074B" w:rsidRDefault="00000000">
      <w:pPr>
        <w:pStyle w:val="ListParagraph"/>
        <w:numPr>
          <w:ilvl w:val="1"/>
          <w:numId w:val="5"/>
        </w:numPr>
        <w:spacing w:after="0" w:line="240" w:lineRule="auto"/>
        <w:ind w:left="1800" w:hanging="27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lastRenderedPageBreak/>
        <w:t>Interdisciplinary and intergenerational learning models are effective in promoting shared green values across age groups and educational levels.</w:t>
      </w:r>
    </w:p>
    <w:p w14:paraId="0E7C2A9C" w14:textId="2327DD97" w:rsidR="0045074B" w:rsidRDefault="00000000">
      <w:pPr>
        <w:pStyle w:val="ListParagraph"/>
        <w:numPr>
          <w:ilvl w:val="1"/>
          <w:numId w:val="5"/>
        </w:numPr>
        <w:spacing w:after="0" w:line="240" w:lineRule="auto"/>
        <w:ind w:left="1800" w:hanging="270"/>
        <w:rPr>
          <w:rFonts w:ascii="Times New Roman" w:eastAsia="DengXian" w:hAnsi="Times New Roman" w:cs="Times New Roman"/>
          <w:color w:val="000000"/>
          <w:kern w:val="0"/>
          <w:szCs w:val="24"/>
          <w:lang w:bidi="ar"/>
        </w:rPr>
      </w:pPr>
      <w:r>
        <w:rPr>
          <w:rFonts w:ascii="Times New Roman" w:eastAsia="DengXian" w:hAnsi="Times New Roman" w:cs="Times New Roman"/>
          <w:color w:val="000000"/>
          <w:kern w:val="0"/>
          <w:szCs w:val="24"/>
          <w:lang w:bidi="ar"/>
        </w:rPr>
        <w:t>China is building an evolving, systematized approach to integrate green competencies into lifelong education—from K-12 to vocational to enterprise HR systems.</w:t>
      </w:r>
    </w:p>
    <w:p w14:paraId="2ACE6B6C" w14:textId="5AF71DB7" w:rsidR="00D67615" w:rsidRPr="0046015D" w:rsidRDefault="00D67615">
      <w:pPr>
        <w:pStyle w:val="ListParagraph"/>
        <w:numPr>
          <w:ilvl w:val="1"/>
          <w:numId w:val="5"/>
        </w:numPr>
        <w:spacing w:after="0" w:line="240" w:lineRule="auto"/>
        <w:ind w:left="1800" w:hanging="270"/>
        <w:rPr>
          <w:rFonts w:ascii="Times New Roman" w:eastAsia="DengXian" w:hAnsi="Times New Roman" w:cs="Times New Roman"/>
          <w:color w:val="000000"/>
          <w:kern w:val="0"/>
          <w:szCs w:val="24"/>
          <w:lang w:bidi="ar"/>
        </w:rPr>
      </w:pPr>
      <w:r>
        <w:rPr>
          <w:rFonts w:ascii="Times New Roman" w:eastAsia="DengXian" w:hAnsi="Times New Roman" w:cs="Times New Roman"/>
          <w:noProof/>
          <w:color w:val="000000"/>
          <w:kern w:val="0"/>
          <w:szCs w:val="24"/>
          <w:lang w:bidi="ar"/>
        </w:rPr>
        <w:drawing>
          <wp:anchor distT="0" distB="0" distL="114300" distR="114300" simplePos="0" relativeHeight="251669504" behindDoc="0" locked="0" layoutInCell="1" allowOverlap="1" wp14:anchorId="2D1AB426" wp14:editId="1208CFD1">
            <wp:simplePos x="0" y="0"/>
            <wp:positionH relativeFrom="column">
              <wp:posOffset>-913766</wp:posOffset>
            </wp:positionH>
            <wp:positionV relativeFrom="paragraph">
              <wp:posOffset>203200</wp:posOffset>
            </wp:positionV>
            <wp:extent cx="7805819" cy="3931920"/>
            <wp:effectExtent l="0" t="0" r="5080" b="0"/>
            <wp:wrapSquare wrapText="bothSides"/>
            <wp:docPr id="9" name="Picture 9" descr="FA9A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9A2195"/>
                    <pic:cNvPicPr>
                      <a:picLocks noChangeAspect="1"/>
                    </pic:cNvPicPr>
                  </pic:nvPicPr>
                  <pic:blipFill rotWithShape="1">
                    <a:blip r:embed="rId9"/>
                    <a:srcRect t="24427"/>
                    <a:stretch>
                      <a:fillRect/>
                    </a:stretch>
                  </pic:blipFill>
                  <pic:spPr bwMode="auto">
                    <a:xfrm>
                      <a:off x="0" y="0"/>
                      <a:ext cx="7806843" cy="3932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48B2F" w14:textId="77777777" w:rsidR="00D67615" w:rsidRPr="0046015D" w:rsidRDefault="00D67615" w:rsidP="00D67615">
      <w:pPr>
        <w:pStyle w:val="ListParagraph"/>
        <w:ind w:left="360"/>
        <w:jc w:val="both"/>
        <w:rPr>
          <w:rFonts w:ascii="Times New Roman" w:hAnsi="Times New Roman" w:cs="Times New Roman"/>
          <w:b/>
          <w:bCs/>
          <w:szCs w:val="24"/>
        </w:rPr>
      </w:pPr>
    </w:p>
    <w:p w14:paraId="6987ECEB" w14:textId="34E91FB4" w:rsidR="00E76805" w:rsidRPr="0046015D" w:rsidRDefault="00000000" w:rsidP="00E76805">
      <w:pPr>
        <w:pStyle w:val="ListParagraph"/>
        <w:numPr>
          <w:ilvl w:val="0"/>
          <w:numId w:val="12"/>
        </w:numPr>
        <w:ind w:left="360"/>
        <w:jc w:val="both"/>
        <w:rPr>
          <w:rFonts w:ascii="Times New Roman" w:hAnsi="Times New Roman" w:cs="Times New Roman"/>
          <w:b/>
          <w:bCs/>
          <w:szCs w:val="24"/>
        </w:rPr>
      </w:pPr>
      <w:r w:rsidRPr="0046015D">
        <w:rPr>
          <w:rFonts w:ascii="Times New Roman" w:hAnsi="Times New Roman" w:cs="Times New Roman"/>
          <w:b/>
          <w:bCs/>
          <w:szCs w:val="24"/>
        </w:rPr>
        <w:t>Key points of Session I</w:t>
      </w:r>
      <w:r w:rsidR="00E76805" w:rsidRPr="0046015D">
        <w:rPr>
          <w:rFonts w:ascii="Times New Roman" w:hAnsi="Times New Roman" w:cs="Times New Roman"/>
          <w:b/>
          <w:bCs/>
          <w:szCs w:val="24"/>
        </w:rPr>
        <w:t>: Country report on TVET and adult education policies</w:t>
      </w:r>
    </w:p>
    <w:p w14:paraId="260029D3" w14:textId="476A8C75" w:rsidR="00E76805" w:rsidRPr="0046015D" w:rsidRDefault="00E76805" w:rsidP="00E76805">
      <w:pPr>
        <w:ind w:firstLine="360"/>
        <w:rPr>
          <w:rFonts w:ascii="Times New Roman" w:eastAsia="SimSun" w:hAnsi="Times New Roman" w:cs="Times New Roman"/>
          <w:b/>
          <w:bCs/>
          <w:iCs/>
          <w:kern w:val="0"/>
          <w:sz w:val="22"/>
          <w14:ligatures w14:val="none"/>
        </w:rPr>
      </w:pPr>
      <w:r w:rsidRPr="0046015D">
        <w:rPr>
          <w:rFonts w:ascii="Times New Roman" w:eastAsia="SimSun" w:hAnsi="Times New Roman" w:cs="Times New Roman"/>
          <w:b/>
          <w:bCs/>
          <w:iCs/>
          <w:kern w:val="0"/>
          <w:sz w:val="22"/>
          <w14:ligatures w14:val="none"/>
        </w:rPr>
        <w:t>Moderator: Dr. QI Xinjian, Assistant Director of UNESCO INRULED</w:t>
      </w:r>
    </w:p>
    <w:p w14:paraId="6794539F" w14:textId="77777777" w:rsidR="0045074B" w:rsidRDefault="00000000">
      <w:pPr>
        <w:pStyle w:val="ListParagraph"/>
        <w:numPr>
          <w:ilvl w:val="0"/>
          <w:numId w:val="6"/>
        </w:numPr>
        <w:spacing w:after="0" w:line="240" w:lineRule="auto"/>
        <w:jc w:val="both"/>
        <w:rPr>
          <w:rFonts w:ascii="Times New Roman" w:hAnsi="Times New Roman" w:cs="Times New Roman"/>
          <w:kern w:val="0"/>
          <w:szCs w:val="24"/>
        </w:rPr>
      </w:pPr>
      <w:r>
        <w:rPr>
          <w:rFonts w:ascii="Times New Roman" w:eastAsia="SimSun" w:hAnsi="Times New Roman" w:cs="Times New Roman"/>
          <w:b/>
          <w:bCs/>
          <w:kern w:val="0"/>
          <w:szCs w:val="24"/>
        </w:rPr>
        <w:t>Brunei:</w:t>
      </w:r>
      <w:r>
        <w:rPr>
          <w:rFonts w:ascii="Times New Roman" w:eastAsia="SimSun" w:hAnsi="Times New Roman" w:cs="Times New Roman"/>
          <w:kern w:val="0"/>
          <w:szCs w:val="24"/>
        </w:rPr>
        <w:t xml:space="preserve"> Mr. </w:t>
      </w:r>
      <w:proofErr w:type="spellStart"/>
      <w:r>
        <w:rPr>
          <w:rFonts w:ascii="Times New Roman" w:eastAsia="SimSun" w:hAnsi="Times New Roman" w:cs="Times New Roman"/>
          <w:kern w:val="0"/>
          <w:szCs w:val="24"/>
        </w:rPr>
        <w:t>Armi</w:t>
      </w:r>
      <w:proofErr w:type="spellEnd"/>
      <w:r>
        <w:rPr>
          <w:rFonts w:ascii="Times New Roman" w:eastAsia="SimSun" w:hAnsi="Times New Roman" w:cs="Times New Roman"/>
          <w:kern w:val="0"/>
          <w:szCs w:val="24"/>
        </w:rPr>
        <w:t xml:space="preserve"> </w:t>
      </w:r>
      <w:proofErr w:type="spellStart"/>
      <w:r>
        <w:rPr>
          <w:rFonts w:ascii="Times New Roman" w:eastAsia="SimSun" w:hAnsi="Times New Roman" w:cs="Times New Roman"/>
          <w:kern w:val="0"/>
          <w:szCs w:val="24"/>
        </w:rPr>
        <w:t>Durani</w:t>
      </w:r>
      <w:proofErr w:type="spellEnd"/>
      <w:r>
        <w:rPr>
          <w:rFonts w:ascii="Times New Roman" w:eastAsia="SimSun" w:hAnsi="Times New Roman" w:cs="Times New Roman"/>
          <w:kern w:val="0"/>
          <w:szCs w:val="24"/>
        </w:rPr>
        <w:t xml:space="preserve"> </w:t>
      </w:r>
      <w:proofErr w:type="spellStart"/>
      <w:r>
        <w:rPr>
          <w:rFonts w:ascii="Times New Roman" w:eastAsia="SimSun" w:hAnsi="Times New Roman" w:cs="Times New Roman"/>
          <w:kern w:val="0"/>
          <w:szCs w:val="24"/>
        </w:rPr>
        <w:t>Durhman</w:t>
      </w:r>
      <w:proofErr w:type="spellEnd"/>
      <w:r>
        <w:rPr>
          <w:rFonts w:ascii="Times New Roman" w:eastAsia="SimSun" w:hAnsi="Times New Roman" w:cs="Times New Roman"/>
          <w:kern w:val="0"/>
          <w:szCs w:val="24"/>
        </w:rPr>
        <w:t>, Principal, Institute of Brunei Technical Education,</w:t>
      </w:r>
      <w:r>
        <w:rPr>
          <w:rFonts w:ascii="Times New Roman" w:hAnsi="Times New Roman" w:cs="Times New Roman"/>
          <w:kern w:val="0"/>
          <w:szCs w:val="24"/>
        </w:rPr>
        <w:t xml:space="preserve"> </w:t>
      </w:r>
      <w:r>
        <w:rPr>
          <w:rFonts w:ascii="Times New Roman" w:eastAsia="SimSun" w:hAnsi="Times New Roman" w:cs="Times New Roman"/>
          <w:kern w:val="0"/>
          <w:szCs w:val="24"/>
        </w:rPr>
        <w:t>Institute of Brunei Technical Education</w:t>
      </w:r>
      <w:r>
        <w:rPr>
          <w:rFonts w:ascii="Times New Roman" w:hAnsi="Times New Roman" w:cs="Times New Roman"/>
          <w:kern w:val="0"/>
          <w:szCs w:val="24"/>
        </w:rPr>
        <w:t xml:space="preserve"> </w:t>
      </w:r>
      <w:r>
        <w:rPr>
          <w:rFonts w:ascii="Times New Roman" w:eastAsia="SimSun" w:hAnsi="Times New Roman" w:cs="Times New Roman"/>
          <w:kern w:val="0"/>
          <w:szCs w:val="24"/>
        </w:rPr>
        <w:t>(IBTE)</w:t>
      </w:r>
    </w:p>
    <w:p w14:paraId="4058D653" w14:textId="20504454" w:rsidR="0045074B" w:rsidRDefault="00000000">
      <w:pPr>
        <w:pStyle w:val="ListParagraph"/>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Cross-Cutting Enablers of TVET in IBTE Brunei include: Enhance IT Infrastructure   and Innovative Technology, Create a Safe </w:t>
      </w:r>
      <w:r w:rsidR="00B33A43">
        <w:rPr>
          <w:rFonts w:ascii="Times New Roman" w:hAnsi="Times New Roman" w:cs="Times New Roman"/>
          <w:kern w:val="0"/>
          <w:szCs w:val="24"/>
        </w:rPr>
        <w:t>and Conducive</w:t>
      </w:r>
      <w:r>
        <w:rPr>
          <w:rFonts w:ascii="Times New Roman" w:hAnsi="Times New Roman" w:cs="Times New Roman"/>
          <w:kern w:val="0"/>
          <w:szCs w:val="24"/>
        </w:rPr>
        <w:t xml:space="preserve"> Learning   Environment and Workplace, Promote Greening </w:t>
      </w:r>
      <w:proofErr w:type="gramStart"/>
      <w:r>
        <w:rPr>
          <w:rFonts w:ascii="Times New Roman" w:hAnsi="Times New Roman" w:cs="Times New Roman"/>
          <w:kern w:val="0"/>
          <w:szCs w:val="24"/>
        </w:rPr>
        <w:t>IBTE  and</w:t>
      </w:r>
      <w:proofErr w:type="gramEnd"/>
      <w:r>
        <w:rPr>
          <w:rFonts w:ascii="Times New Roman" w:hAnsi="Times New Roman" w:cs="Times New Roman"/>
          <w:kern w:val="0"/>
          <w:szCs w:val="24"/>
        </w:rPr>
        <w:t xml:space="preserve"> Sustainable Development and Promote IBTE’s Brand Identity and Image</w:t>
      </w:r>
    </w:p>
    <w:p w14:paraId="2B2306A5" w14:textId="77777777" w:rsidR="0045074B" w:rsidRDefault="00000000">
      <w:pPr>
        <w:pStyle w:val="ListParagraph"/>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Establishment of Centre of Technology Enhanced Learning (CETL) is very important. The function of CTEL is to provide resources, tools, and services to support the integration of technology into teaching and learning.</w:t>
      </w:r>
    </w:p>
    <w:p w14:paraId="79C2AF45" w14:textId="77777777" w:rsidR="0045074B" w:rsidRDefault="00000000">
      <w:pPr>
        <w:pStyle w:val="ListParagraph"/>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TVET Entrepreneurship and Innovation Challenge includes to cultivate entrepreneurial mindsets and skills among students, to enhance interdisciplinary collaboration across TVET fields and to develop innovative and sustainable solutions relevant to 21st-century challenges and to expose students to the fundamental concepts of innovation &amp; green economy</w:t>
      </w:r>
    </w:p>
    <w:p w14:paraId="3CCAE746" w14:textId="77777777" w:rsidR="0045074B" w:rsidRDefault="0045074B">
      <w:pPr>
        <w:pStyle w:val="ListParagraph"/>
        <w:spacing w:after="0" w:line="240" w:lineRule="auto"/>
        <w:ind w:left="1140"/>
        <w:jc w:val="both"/>
        <w:rPr>
          <w:rFonts w:ascii="Times New Roman" w:hAnsi="Times New Roman" w:cs="Times New Roman"/>
          <w:kern w:val="0"/>
          <w:szCs w:val="24"/>
        </w:rPr>
      </w:pPr>
    </w:p>
    <w:p w14:paraId="4F172FFC" w14:textId="77777777" w:rsidR="0045074B" w:rsidRDefault="00000000">
      <w:pPr>
        <w:pStyle w:val="ListParagraph"/>
        <w:numPr>
          <w:ilvl w:val="0"/>
          <w:numId w:val="6"/>
        </w:numPr>
        <w:spacing w:after="0" w:line="240" w:lineRule="auto"/>
        <w:jc w:val="both"/>
        <w:rPr>
          <w:rFonts w:ascii="Times New Roman" w:eastAsia="SimSun" w:hAnsi="Times New Roman" w:cs="Times New Roman"/>
          <w:kern w:val="0"/>
          <w:szCs w:val="24"/>
        </w:rPr>
      </w:pPr>
      <w:r>
        <w:rPr>
          <w:rFonts w:ascii="Times New Roman" w:eastAsia="SimSun" w:hAnsi="Times New Roman" w:cs="Times New Roman"/>
          <w:b/>
          <w:bCs/>
          <w:kern w:val="0"/>
          <w:szCs w:val="24"/>
        </w:rPr>
        <w:lastRenderedPageBreak/>
        <w:t>Cambodia:</w:t>
      </w:r>
      <w:r>
        <w:rPr>
          <w:rFonts w:ascii="Times New Roman" w:eastAsia="SimSun" w:hAnsi="Times New Roman" w:cs="Times New Roman"/>
          <w:kern w:val="0"/>
          <w:szCs w:val="24"/>
        </w:rPr>
        <w:t xml:space="preserve"> Dr. Dy </w:t>
      </w:r>
      <w:proofErr w:type="spellStart"/>
      <w:r>
        <w:rPr>
          <w:rFonts w:ascii="Times New Roman" w:eastAsia="SimSun" w:hAnsi="Times New Roman" w:cs="Times New Roman"/>
          <w:kern w:val="0"/>
          <w:szCs w:val="24"/>
        </w:rPr>
        <w:t>Samsideth</w:t>
      </w:r>
      <w:proofErr w:type="spellEnd"/>
      <w:r>
        <w:rPr>
          <w:rFonts w:ascii="Times New Roman" w:eastAsia="SimSun" w:hAnsi="Times New Roman" w:cs="Times New Roman"/>
          <w:kern w:val="0"/>
          <w:szCs w:val="24"/>
        </w:rPr>
        <w:t>, Secretary-General of the Lifelong Learning Secretariat of the Ministry of Education, Youth and Sports of Cambodia</w:t>
      </w:r>
    </w:p>
    <w:p w14:paraId="4798C24B" w14:textId="77777777" w:rsidR="0045074B" w:rsidRDefault="00000000">
      <w:pPr>
        <w:pStyle w:val="ListParagraph"/>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Featured Programs of lifelong learning in Cambodia includes: </w:t>
      </w:r>
    </w:p>
    <w:p w14:paraId="4A6298BA"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Vocational and technical training are crucial to contribute poverty reduction especially for young people from poor and vulnerable background receiving free of charge training with a monthly allowance Introducing new education pathways by guiding lower secondary students toward subject-specific streams and enabling flexible transitions between general education and vocational training</w:t>
      </w:r>
    </w:p>
    <w:p w14:paraId="4389FD79"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 Introducing a 'fast-track' program in upper secondary education, with selected online courses designed and delivered to students.</w:t>
      </w:r>
    </w:p>
    <w:p w14:paraId="1FCDE5FF"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The Lifelong Learning Standard</w:t>
      </w:r>
      <w:r>
        <w:rPr>
          <w:rFonts w:ascii="Times New Roman" w:hAnsi="Times New Roman" w:cs="Times New Roman"/>
          <w:b/>
          <w:bCs/>
          <w:kern w:val="0"/>
          <w:szCs w:val="24"/>
        </w:rPr>
        <w:t xml:space="preserve"> </w:t>
      </w:r>
      <w:r>
        <w:rPr>
          <w:rFonts w:ascii="Times New Roman" w:hAnsi="Times New Roman" w:cs="Times New Roman"/>
          <w:kern w:val="0"/>
          <w:szCs w:val="24"/>
        </w:rPr>
        <w:t>serves as a licensing framework for Community Learning Centers, Youth Centers, and Women’s Development Centers, aimed at enhancing institutional development and ensuring quality service delivery.</w:t>
      </w:r>
    </w:p>
    <w:p w14:paraId="38FD35B6"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The Basic Education Equivalency Program is a flexible, alternative education initiative to provide out-of-school youth and adults for receiving a second chance to achieve an equivalent qualification through non-formal, blended learning approaches.</w:t>
      </w:r>
    </w:p>
    <w:p w14:paraId="65026B4B"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Digital transformation is crucial to enable lifelong learning opportunity for all</w:t>
      </w:r>
    </w:p>
    <w:p w14:paraId="28DB16D5" w14:textId="15C47928" w:rsidR="0045074B" w:rsidRDefault="00000000">
      <w:pPr>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Increase access of a completion of 9-year basic education in rural areas as a schooling expansion in rural poor </w:t>
      </w:r>
      <w:r w:rsidR="00B33A43">
        <w:rPr>
          <w:rFonts w:ascii="Times New Roman" w:hAnsi="Times New Roman" w:cs="Times New Roman"/>
          <w:kern w:val="0"/>
          <w:szCs w:val="24"/>
        </w:rPr>
        <w:t>areas.</w:t>
      </w:r>
    </w:p>
    <w:p w14:paraId="7807A325" w14:textId="63A14022" w:rsidR="0045074B" w:rsidRDefault="00000000">
      <w:pPr>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Digital learning content development and assessment issues – partnership within the line ministries and private agencies learning contents available for all </w:t>
      </w:r>
      <w:r w:rsidR="00B33A43">
        <w:rPr>
          <w:rFonts w:ascii="Times New Roman" w:hAnsi="Times New Roman" w:cs="Times New Roman"/>
          <w:kern w:val="0"/>
          <w:szCs w:val="24"/>
        </w:rPr>
        <w:t>learners.</w:t>
      </w:r>
    </w:p>
    <w:p w14:paraId="580AC45E" w14:textId="66D6ACBB" w:rsidR="0045074B" w:rsidRDefault="00000000">
      <w:pPr>
        <w:pStyle w:val="ListParagraph"/>
        <w:numPr>
          <w:ilvl w:val="0"/>
          <w:numId w:val="6"/>
        </w:numPr>
        <w:spacing w:after="0" w:line="240" w:lineRule="auto"/>
        <w:jc w:val="both"/>
        <w:rPr>
          <w:rFonts w:ascii="Times New Roman" w:eastAsia="SimSun" w:hAnsi="Times New Roman" w:cs="Times New Roman"/>
          <w:kern w:val="0"/>
          <w:szCs w:val="24"/>
        </w:rPr>
      </w:pPr>
      <w:r>
        <w:rPr>
          <w:rFonts w:ascii="Times New Roman" w:eastAsia="SimSun" w:hAnsi="Times New Roman" w:cs="Times New Roman"/>
          <w:b/>
          <w:bCs/>
          <w:kern w:val="0"/>
          <w:szCs w:val="24"/>
        </w:rPr>
        <w:t>China:</w:t>
      </w:r>
      <w:r>
        <w:rPr>
          <w:rFonts w:ascii="Times New Roman" w:eastAsia="SimSun" w:hAnsi="Times New Roman" w:cs="Times New Roman"/>
          <w:kern w:val="0"/>
          <w:szCs w:val="24"/>
        </w:rPr>
        <w:t xml:space="preserve"> </w:t>
      </w:r>
      <w:proofErr w:type="spellStart"/>
      <w:r>
        <w:rPr>
          <w:rFonts w:ascii="Times New Roman" w:eastAsia="SimSun" w:hAnsi="Times New Roman" w:cs="Times New Roman"/>
          <w:kern w:val="0"/>
          <w:szCs w:val="24"/>
        </w:rPr>
        <w:t>Mr</w:t>
      </w:r>
      <w:proofErr w:type="spellEnd"/>
      <w:r>
        <w:rPr>
          <w:rFonts w:ascii="Times New Roman" w:eastAsia="SimSun" w:hAnsi="Times New Roman" w:cs="Times New Roman"/>
          <w:kern w:val="0"/>
          <w:szCs w:val="24"/>
        </w:rPr>
        <w:t xml:space="preserve"> Zhang, Dean of </w:t>
      </w:r>
      <w:proofErr w:type="spellStart"/>
      <w:r>
        <w:rPr>
          <w:rFonts w:ascii="Times New Roman" w:eastAsia="SimSun" w:hAnsi="Times New Roman" w:cs="Times New Roman"/>
          <w:kern w:val="0"/>
          <w:szCs w:val="24"/>
        </w:rPr>
        <w:t>Nigbo</w:t>
      </w:r>
      <w:proofErr w:type="spellEnd"/>
      <w:r>
        <w:rPr>
          <w:rFonts w:ascii="Times New Roman" w:eastAsia="SimSun" w:hAnsi="Times New Roman" w:cs="Times New Roman"/>
          <w:kern w:val="0"/>
          <w:szCs w:val="24"/>
        </w:rPr>
        <w:t xml:space="preserve"> </w:t>
      </w:r>
      <w:r w:rsidR="00B33A43">
        <w:rPr>
          <w:rFonts w:ascii="Times New Roman" w:eastAsia="SimSun" w:hAnsi="Times New Roman" w:cs="Times New Roman"/>
          <w:kern w:val="0"/>
          <w:szCs w:val="24"/>
        </w:rPr>
        <w:t>Vocational</w:t>
      </w:r>
      <w:r>
        <w:rPr>
          <w:rFonts w:ascii="Times New Roman" w:eastAsia="SimSun" w:hAnsi="Times New Roman" w:cs="Times New Roman"/>
          <w:kern w:val="0"/>
          <w:szCs w:val="24"/>
        </w:rPr>
        <w:t xml:space="preserve"> and Adult Education Institute</w:t>
      </w:r>
    </w:p>
    <w:p w14:paraId="301C22CA" w14:textId="77777777" w:rsidR="0045074B" w:rsidRDefault="0045074B">
      <w:pPr>
        <w:pStyle w:val="ListParagraph"/>
        <w:spacing w:after="0" w:line="240" w:lineRule="auto"/>
        <w:jc w:val="both"/>
        <w:rPr>
          <w:rFonts w:ascii="Times New Roman" w:eastAsia="SimSun" w:hAnsi="Times New Roman" w:cs="Times New Roman"/>
          <w:kern w:val="0"/>
          <w:szCs w:val="24"/>
        </w:rPr>
      </w:pPr>
    </w:p>
    <w:p w14:paraId="426F74A7" w14:textId="77777777" w:rsidR="0045074B" w:rsidRDefault="00000000">
      <w:pPr>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Presentation on the Innovative and Practices of Ningbo Authority in terms of rural education development: These are Key Highlighted Points</w:t>
      </w:r>
    </w:p>
    <w:p w14:paraId="48DAF944"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Integrated Training Network:</w:t>
      </w:r>
      <w:r>
        <w:rPr>
          <w:rFonts w:ascii="Times New Roman" w:hAnsi="Times New Roman" w:cs="Times New Roman"/>
          <w:kern w:val="0"/>
          <w:szCs w:val="24"/>
        </w:rPr>
        <w:br/>
        <w:t>A four-tier system connects the city, county, township, and village for seamless skills delivery.</w:t>
      </w:r>
    </w:p>
    <w:p w14:paraId="1399944D"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Specialized Training Zones:</w:t>
      </w:r>
      <w:r>
        <w:rPr>
          <w:rFonts w:ascii="Times New Roman" w:hAnsi="Times New Roman" w:cs="Times New Roman"/>
          <w:kern w:val="0"/>
          <w:szCs w:val="24"/>
        </w:rPr>
        <w:br/>
        <w:t>387 agricultural-industry-aligned programs developed through higher education and vocational collaboration.</w:t>
      </w:r>
    </w:p>
    <w:p w14:paraId="05DB0559"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Experiential and Community-Based Learning:</w:t>
      </w:r>
      <w:r>
        <w:rPr>
          <w:rFonts w:ascii="Times New Roman" w:hAnsi="Times New Roman" w:cs="Times New Roman"/>
          <w:kern w:val="0"/>
          <w:szCs w:val="24"/>
        </w:rPr>
        <w:br/>
        <w:t>Training is not abstract—it is delivered in workshops, farms, and real business settings.</w:t>
      </w:r>
    </w:p>
    <w:p w14:paraId="3E68E3BA"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Digital Learning Infrastructure:</w:t>
      </w:r>
      <w:r>
        <w:rPr>
          <w:rFonts w:ascii="Times New Roman" w:hAnsi="Times New Roman" w:cs="Times New Roman"/>
          <w:kern w:val="0"/>
          <w:szCs w:val="24"/>
        </w:rPr>
        <w:br/>
        <w:t>GIS-based campus mapping and online platforms make lifelong education accessible anywhere.</w:t>
      </w:r>
    </w:p>
    <w:p w14:paraId="58F5197B" w14:textId="6BB8CB9C"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Rural Revitalization Through Talent Empowerment:</w:t>
      </w:r>
      <w:r>
        <w:rPr>
          <w:rFonts w:ascii="Times New Roman" w:hAnsi="Times New Roman" w:cs="Times New Roman"/>
          <w:kern w:val="0"/>
          <w:szCs w:val="24"/>
        </w:rPr>
        <w:br/>
        <w:t>The model positions education as the key driver of common prosperity.</w:t>
      </w:r>
    </w:p>
    <w:p w14:paraId="4DDF6564" w14:textId="7E9EC358" w:rsidR="0045074B" w:rsidRDefault="0045074B">
      <w:pPr>
        <w:pStyle w:val="ListParagraph"/>
        <w:spacing w:line="240" w:lineRule="auto"/>
        <w:ind w:left="0"/>
        <w:rPr>
          <w:rFonts w:ascii="Times New Roman" w:hAnsi="Times New Roman" w:cs="Times New Roman"/>
          <w:kern w:val="0"/>
          <w:szCs w:val="24"/>
        </w:rPr>
      </w:pPr>
    </w:p>
    <w:p w14:paraId="19241E7C" w14:textId="77777777" w:rsidR="00903F66" w:rsidRDefault="00903F66">
      <w:pPr>
        <w:pStyle w:val="ListParagraph"/>
        <w:spacing w:line="240" w:lineRule="auto"/>
        <w:ind w:left="0"/>
        <w:rPr>
          <w:rFonts w:ascii="Times New Roman" w:hAnsi="Times New Roman" w:cs="Times New Roman"/>
          <w:kern w:val="0"/>
          <w:szCs w:val="24"/>
        </w:rPr>
      </w:pPr>
    </w:p>
    <w:p w14:paraId="0E4181C7" w14:textId="77809908" w:rsidR="0045074B" w:rsidRDefault="00000000">
      <w:pPr>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These are Key Takeaways</w:t>
      </w:r>
    </w:p>
    <w:p w14:paraId="021C579C" w14:textId="3C47BEB4"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lastRenderedPageBreak/>
        <w:t>Context matters: Designing training based on farmers' actual challenges enhances engagement and relevance.</w:t>
      </w:r>
    </w:p>
    <w:p w14:paraId="1459A483"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Blended learning works: The combination of classroom, fieldwork, and digital modules ensures both knowledge and skills acquisition.</w:t>
      </w:r>
    </w:p>
    <w:p w14:paraId="4E08E8D8"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Digital inclusion is essential: Smart platforms and learning maps bridge urban-rural education gaps.</w:t>
      </w:r>
    </w:p>
    <w:p w14:paraId="46D97A3D"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Education fuels innovation: Farmers are not just laborers—they're creators, entrepreneurs, and community leaders.</w:t>
      </w:r>
    </w:p>
    <w:p w14:paraId="203352D9" w14:textId="77777777" w:rsidR="0045074B" w:rsidRDefault="00000000">
      <w:pPr>
        <w:pStyle w:val="ListParagraph"/>
        <w:numPr>
          <w:ilvl w:val="1"/>
          <w:numId w:val="7"/>
        </w:numPr>
        <w:spacing w:line="240" w:lineRule="auto"/>
        <w:rPr>
          <w:rFonts w:ascii="Times New Roman" w:hAnsi="Times New Roman" w:cs="Times New Roman"/>
          <w:kern w:val="0"/>
          <w:szCs w:val="24"/>
        </w:rPr>
      </w:pPr>
      <w:r>
        <w:rPr>
          <w:rFonts w:ascii="Times New Roman" w:hAnsi="Times New Roman" w:cs="Times New Roman"/>
          <w:kern w:val="0"/>
          <w:szCs w:val="24"/>
        </w:rPr>
        <w:t>The Ningbo model is scalable and adaptable: Its structure, tools, and outcomes can be a template for national or global rural skills programs.</w:t>
      </w:r>
    </w:p>
    <w:p w14:paraId="6BFE1CC1" w14:textId="77777777" w:rsidR="0045074B" w:rsidRDefault="0045074B">
      <w:pPr>
        <w:pStyle w:val="ListParagraph"/>
        <w:spacing w:line="240" w:lineRule="auto"/>
        <w:ind w:left="2160"/>
        <w:rPr>
          <w:rFonts w:ascii="Times New Roman" w:hAnsi="Times New Roman" w:cs="Times New Roman"/>
          <w:kern w:val="0"/>
          <w:szCs w:val="24"/>
        </w:rPr>
      </w:pPr>
    </w:p>
    <w:p w14:paraId="0EA214B9" w14:textId="77777777" w:rsidR="0045074B" w:rsidRDefault="00000000">
      <w:pPr>
        <w:pStyle w:val="ListParagraph"/>
        <w:numPr>
          <w:ilvl w:val="0"/>
          <w:numId w:val="6"/>
        </w:numPr>
        <w:spacing w:after="0" w:line="240" w:lineRule="auto"/>
        <w:jc w:val="both"/>
        <w:rPr>
          <w:rFonts w:ascii="Times New Roman" w:eastAsia="SimSun" w:hAnsi="Times New Roman" w:cs="Times New Roman"/>
          <w:kern w:val="0"/>
          <w:szCs w:val="24"/>
        </w:rPr>
      </w:pPr>
      <w:r>
        <w:rPr>
          <w:rFonts w:ascii="Times New Roman" w:eastAsia="SimSun" w:hAnsi="Times New Roman" w:cs="Times New Roman"/>
          <w:b/>
          <w:bCs/>
          <w:kern w:val="0"/>
          <w:szCs w:val="24"/>
        </w:rPr>
        <w:t>Lao PDR:</w:t>
      </w:r>
      <w:r>
        <w:rPr>
          <w:rFonts w:ascii="Times New Roman" w:eastAsia="SimSun" w:hAnsi="Times New Roman" w:cs="Times New Roman"/>
          <w:kern w:val="0"/>
          <w:szCs w:val="24"/>
        </w:rPr>
        <w:t xml:space="preserve"> Dr. </w:t>
      </w:r>
      <w:proofErr w:type="spellStart"/>
      <w:r>
        <w:rPr>
          <w:rFonts w:ascii="Times New Roman" w:eastAsia="SimSun" w:hAnsi="Times New Roman" w:cs="Times New Roman"/>
          <w:kern w:val="0"/>
          <w:szCs w:val="24"/>
        </w:rPr>
        <w:t>Sengaloun</w:t>
      </w:r>
      <w:proofErr w:type="spellEnd"/>
      <w:r>
        <w:rPr>
          <w:rFonts w:ascii="Times New Roman" w:eastAsia="SimSun" w:hAnsi="Times New Roman" w:cs="Times New Roman"/>
          <w:kern w:val="0"/>
          <w:szCs w:val="24"/>
        </w:rPr>
        <w:t>: National Strategy on TVET/ Adult Learning</w:t>
      </w:r>
    </w:p>
    <w:p w14:paraId="7B01B360" w14:textId="77777777" w:rsidR="0045074B" w:rsidRDefault="0045074B">
      <w:pPr>
        <w:pStyle w:val="ListParagraph"/>
        <w:spacing w:after="0" w:line="240" w:lineRule="auto"/>
        <w:jc w:val="both"/>
        <w:rPr>
          <w:rFonts w:ascii="Times New Roman" w:eastAsia="SimSun" w:hAnsi="Times New Roman" w:cs="Times New Roman"/>
          <w:kern w:val="0"/>
          <w:szCs w:val="24"/>
        </w:rPr>
      </w:pPr>
    </w:p>
    <w:p w14:paraId="0B4B7698" w14:textId="77777777" w:rsidR="0045074B" w:rsidRDefault="00000000">
      <w:pPr>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6 TVET strategies in Lao PDR: </w:t>
      </w:r>
    </w:p>
    <w:p w14:paraId="69115D7D" w14:textId="63BF0E44"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Improve access to TVET </w:t>
      </w:r>
      <w:r w:rsidR="00B72062">
        <w:rPr>
          <w:rFonts w:ascii="Times New Roman" w:hAnsi="Times New Roman" w:cs="Times New Roman"/>
          <w:kern w:val="0"/>
          <w:szCs w:val="24"/>
        </w:rPr>
        <w:t>to</w:t>
      </w:r>
      <w:r>
        <w:rPr>
          <w:rFonts w:ascii="Times New Roman" w:hAnsi="Times New Roman" w:cs="Times New Roman"/>
          <w:kern w:val="0"/>
          <w:szCs w:val="24"/>
        </w:rPr>
        <w:t xml:space="preserve"> enhance employment opportunities</w:t>
      </w:r>
    </w:p>
    <w:p w14:paraId="5A3C6E0F"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Improve the quality and relevance of TVET provision</w:t>
      </w:r>
    </w:p>
    <w:p w14:paraId="5B5713A2"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Develop TVET teachers</w:t>
      </w:r>
    </w:p>
    <w:p w14:paraId="3699140E"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Promoting TVET in Support of Digitalization, Green Development, Sustainability, and Lifelong Learning</w:t>
      </w:r>
    </w:p>
    <w:p w14:paraId="29A32DA3"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Strengthening TVET Institutional Capacities in Administration, Management, and Financing</w:t>
      </w:r>
    </w:p>
    <w:p w14:paraId="741A83CE"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Promote cooperation between TVET institutions at the national and local levels and the public and private sectors, as well as international organizations.</w:t>
      </w:r>
    </w:p>
    <w:p w14:paraId="383F5B84" w14:textId="77777777" w:rsidR="0045074B" w:rsidRDefault="00000000">
      <w:pPr>
        <w:pStyle w:val="ListParagraph"/>
        <w:numPr>
          <w:ilvl w:val="0"/>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Key Actions of Lifelong Learning </w:t>
      </w:r>
    </w:p>
    <w:p w14:paraId="71A69D29"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Integrating lifelong learning into teaching and learning</w:t>
      </w:r>
    </w:p>
    <w:p w14:paraId="1FE80F4E"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Advertising Lifelong Learning</w:t>
      </w:r>
    </w:p>
    <w:p w14:paraId="249FDBE9"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Improve and ensure high-quality digital learning resources and curricula are accessible to all students for effective learning</w:t>
      </w:r>
    </w:p>
    <w:p w14:paraId="23C43271" w14:textId="77777777" w:rsidR="0045074B" w:rsidRDefault="0045074B">
      <w:pPr>
        <w:pStyle w:val="ListParagraph"/>
        <w:spacing w:line="240" w:lineRule="auto"/>
        <w:ind w:left="0"/>
        <w:jc w:val="both"/>
        <w:rPr>
          <w:rFonts w:ascii="Times New Roman" w:hAnsi="Times New Roman" w:cs="Times New Roman"/>
          <w:kern w:val="0"/>
          <w:szCs w:val="24"/>
        </w:rPr>
      </w:pPr>
    </w:p>
    <w:p w14:paraId="38CFE6C1" w14:textId="4ECB9A70" w:rsidR="0045074B" w:rsidRDefault="00000000">
      <w:pPr>
        <w:pStyle w:val="ListParagraph"/>
        <w:numPr>
          <w:ilvl w:val="0"/>
          <w:numId w:val="6"/>
        </w:numPr>
        <w:spacing w:after="0" w:line="240" w:lineRule="auto"/>
        <w:jc w:val="both"/>
        <w:rPr>
          <w:rFonts w:ascii="Times New Roman" w:eastAsia="SimSun" w:hAnsi="Times New Roman" w:cs="Times New Roman"/>
          <w:kern w:val="0"/>
          <w:szCs w:val="24"/>
        </w:rPr>
      </w:pPr>
      <w:r>
        <w:rPr>
          <w:rFonts w:ascii="Times New Roman" w:eastAsia="SimSun" w:hAnsi="Times New Roman" w:cs="Times New Roman"/>
          <w:b/>
          <w:bCs/>
          <w:kern w:val="0"/>
          <w:szCs w:val="24"/>
        </w:rPr>
        <w:t>Malaysia:</w:t>
      </w:r>
      <w:r>
        <w:rPr>
          <w:rFonts w:ascii="Times New Roman" w:eastAsia="SimSun" w:hAnsi="Times New Roman" w:cs="Times New Roman"/>
          <w:kern w:val="0"/>
          <w:szCs w:val="24"/>
        </w:rPr>
        <w:t xml:space="preserve"> Dr. </w:t>
      </w:r>
      <w:proofErr w:type="spellStart"/>
      <w:r>
        <w:rPr>
          <w:rFonts w:ascii="Times New Roman" w:eastAsia="SimSun" w:hAnsi="Times New Roman" w:cs="Times New Roman"/>
          <w:kern w:val="0"/>
          <w:szCs w:val="24"/>
        </w:rPr>
        <w:t>Riam</w:t>
      </w:r>
      <w:proofErr w:type="spellEnd"/>
      <w:r>
        <w:rPr>
          <w:rFonts w:ascii="Times New Roman" w:eastAsia="SimSun" w:hAnsi="Times New Roman" w:cs="Times New Roman"/>
          <w:kern w:val="0"/>
          <w:szCs w:val="24"/>
        </w:rPr>
        <w:t xml:space="preserve">: Strengthening: Malaysia’s TVET through </w:t>
      </w:r>
      <w:r w:rsidR="002B1B0F">
        <w:rPr>
          <w:rFonts w:ascii="Times New Roman" w:eastAsia="SimSun" w:hAnsi="Times New Roman" w:cs="Times New Roman"/>
          <w:kern w:val="0"/>
          <w:szCs w:val="24"/>
        </w:rPr>
        <w:t>lifelong</w:t>
      </w:r>
      <w:r>
        <w:rPr>
          <w:rFonts w:ascii="Times New Roman" w:eastAsia="SimSun" w:hAnsi="Times New Roman" w:cs="Times New Roman"/>
          <w:kern w:val="0"/>
          <w:szCs w:val="24"/>
        </w:rPr>
        <w:t xml:space="preserve"> learning and Adult Education</w:t>
      </w:r>
    </w:p>
    <w:p w14:paraId="1AD43B74" w14:textId="77777777" w:rsidR="0045074B" w:rsidRDefault="0045074B">
      <w:pPr>
        <w:pStyle w:val="ListParagraph"/>
        <w:spacing w:after="0" w:line="240" w:lineRule="auto"/>
        <w:jc w:val="both"/>
        <w:rPr>
          <w:rFonts w:ascii="Times New Roman" w:eastAsia="SimSun" w:hAnsi="Times New Roman" w:cs="Times New Roman"/>
          <w:kern w:val="0"/>
          <w:szCs w:val="24"/>
        </w:rPr>
      </w:pPr>
    </w:p>
    <w:p w14:paraId="5AF9939A" w14:textId="7036C86F"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TVET is a key pillar in developing Malaysia’s skilled, </w:t>
      </w:r>
      <w:r w:rsidR="002B1B0F">
        <w:rPr>
          <w:rFonts w:ascii="Times New Roman" w:hAnsi="Times New Roman" w:cs="Times New Roman"/>
          <w:szCs w:val="24"/>
        </w:rPr>
        <w:t>competitive and</w:t>
      </w:r>
      <w:r>
        <w:rPr>
          <w:rFonts w:ascii="Times New Roman" w:hAnsi="Times New Roman" w:cs="Times New Roman"/>
          <w:szCs w:val="24"/>
        </w:rPr>
        <w:t xml:space="preserve"> future ready/workforce</w:t>
      </w:r>
    </w:p>
    <w:p w14:paraId="33A05935"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Global Trends in Vocational and Adult Learning: International Framework &amp; alignment (UNESCO Strategy for TVET 2022-2029-Ensure inclusive &amp; Equitable quality education and promote lifelong opportunities for All</w:t>
      </w:r>
    </w:p>
    <w:p w14:paraId="298B0D10" w14:textId="67AC39CA"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National Policies on TVET: (National Policy 2030: </w:t>
      </w:r>
      <w:r w:rsidR="00DD6CE1">
        <w:rPr>
          <w:rFonts w:ascii="Times New Roman" w:hAnsi="Times New Roman" w:cs="Times New Roman"/>
          <w:szCs w:val="24"/>
        </w:rPr>
        <w:t>Focus</w:t>
      </w:r>
      <w:r>
        <w:rPr>
          <w:rFonts w:ascii="Times New Roman" w:hAnsi="Times New Roman" w:cs="Times New Roman"/>
          <w:szCs w:val="24"/>
        </w:rPr>
        <w:t xml:space="preserve"> is to produce highly skilled and high-income workers….</w:t>
      </w:r>
    </w:p>
    <w:p w14:paraId="5680EB3D" w14:textId="779852FC"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NATIONAL TVET POLICY 2030 - </w:t>
      </w:r>
      <w:r w:rsidR="00DD6CE1">
        <w:rPr>
          <w:rFonts w:ascii="Times New Roman" w:hAnsi="Times New Roman" w:cs="Times New Roman"/>
          <w:kern w:val="0"/>
          <w:szCs w:val="24"/>
        </w:rPr>
        <w:t>focus</w:t>
      </w:r>
      <w:r>
        <w:rPr>
          <w:rFonts w:ascii="Times New Roman" w:hAnsi="Times New Roman" w:cs="Times New Roman"/>
          <w:kern w:val="0"/>
          <w:szCs w:val="24"/>
        </w:rPr>
        <w:t xml:space="preserve"> is to produce highly skilled and high-income workers </w:t>
      </w:r>
    </w:p>
    <w:p w14:paraId="2ACD677E"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It is a comprehensive framework and will serve as a reference point for all initiatives and</w:t>
      </w:r>
    </w:p>
    <w:p w14:paraId="25080891"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implementations by public and private TVET providers as well as the 12 ministries involved in   TVET </w:t>
      </w:r>
    </w:p>
    <w:p w14:paraId="403D7A91"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National TVET Council (MTVET)</w:t>
      </w:r>
    </w:p>
    <w:p w14:paraId="1193E8FE" w14:textId="158BB50A"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lastRenderedPageBreak/>
        <w:t>National TVET Master Plan - Focuses on strengthening coordination, quality assurance, and industry collaboration across ministries and institutions as well as sets a strategic direction for</w:t>
      </w:r>
      <w:r w:rsidR="00DD6CE1">
        <w:rPr>
          <w:rFonts w:ascii="Times New Roman" w:hAnsi="Times New Roman" w:cs="Times New Roman"/>
          <w:kern w:val="0"/>
          <w:szCs w:val="24"/>
        </w:rPr>
        <w:t xml:space="preserve"> </w:t>
      </w:r>
      <w:r>
        <w:rPr>
          <w:rFonts w:ascii="Times New Roman" w:hAnsi="Times New Roman" w:cs="Times New Roman"/>
          <w:kern w:val="0"/>
          <w:szCs w:val="24"/>
        </w:rPr>
        <w:t>holistic TVET transformation.</w:t>
      </w:r>
    </w:p>
    <w:p w14:paraId="725E035B"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12th Malaysia Plan (2021-2025) - Emphasizes TVET reform, industry-driven training, digital</w:t>
      </w:r>
    </w:p>
    <w:p w14:paraId="1BB3A4E9"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economy skills, and upskilling/reskilling for IR4.0, supports the whole-of-government approach    through the Majlis TVET Negara (MTVET).</w:t>
      </w:r>
    </w:p>
    <w:p w14:paraId="55CA3305" w14:textId="77777777" w:rsidR="0045074B" w:rsidRDefault="0045074B">
      <w:pPr>
        <w:pStyle w:val="ListParagraph"/>
        <w:ind w:left="2160"/>
        <w:jc w:val="both"/>
        <w:rPr>
          <w:rFonts w:ascii="Times New Roman" w:hAnsi="Times New Roman" w:cs="Times New Roman"/>
          <w:szCs w:val="24"/>
        </w:rPr>
      </w:pPr>
    </w:p>
    <w:p w14:paraId="49141F62" w14:textId="24FE0945"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Adult Learning and </w:t>
      </w:r>
      <w:r w:rsidR="00DD6CE1">
        <w:rPr>
          <w:rFonts w:ascii="Times New Roman" w:hAnsi="Times New Roman" w:cs="Times New Roman"/>
          <w:szCs w:val="24"/>
        </w:rPr>
        <w:t>Lifelong</w:t>
      </w:r>
      <w:r>
        <w:rPr>
          <w:rFonts w:ascii="Times New Roman" w:hAnsi="Times New Roman" w:cs="Times New Roman"/>
          <w:szCs w:val="24"/>
        </w:rPr>
        <w:t xml:space="preserve"> Learning Policies: </w:t>
      </w:r>
      <w:r w:rsidR="00DD6CE1">
        <w:rPr>
          <w:rFonts w:ascii="Times New Roman" w:hAnsi="Times New Roman" w:cs="Times New Roman"/>
          <w:szCs w:val="24"/>
        </w:rPr>
        <w:t>Lifelong</w:t>
      </w:r>
      <w:r>
        <w:rPr>
          <w:rFonts w:ascii="Times New Roman" w:hAnsi="Times New Roman" w:cs="Times New Roman"/>
          <w:szCs w:val="24"/>
        </w:rPr>
        <w:t xml:space="preserve"> Learning Policy, Digital Education Policy, Industry 4.0 Policy, National Human Capital Policy, National Skills Development Policy </w:t>
      </w:r>
    </w:p>
    <w:p w14:paraId="2404C0E7"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Lifelong Learning Policy - Promotes access to education for adults and lifelong learners, encourages flexible learning via micro-credentials, modular courses, and Recognition of Prior Learning (RPL).</w:t>
      </w:r>
    </w:p>
    <w:p w14:paraId="656930A3"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Digital Education Policy - Aims to integrate digital tools and platforms across all education levels, supports digitalization of TVET through Learning Management Systems (LMS), e-assessments, and hybrid learning.</w:t>
      </w:r>
    </w:p>
    <w:p w14:paraId="0F7BCB70" w14:textId="289FD8CF"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Industry 4.0 Policy - Aligns TVET with national digital and industrial transformation, encourages </w:t>
      </w:r>
      <w:r w:rsidR="008902AC">
        <w:rPr>
          <w:rFonts w:ascii="Times New Roman" w:hAnsi="Times New Roman" w:cs="Times New Roman"/>
          <w:kern w:val="0"/>
          <w:szCs w:val="24"/>
        </w:rPr>
        <w:t>curriculum enhancement</w:t>
      </w:r>
      <w:r>
        <w:rPr>
          <w:rFonts w:ascii="Times New Roman" w:hAnsi="Times New Roman" w:cs="Times New Roman"/>
          <w:kern w:val="0"/>
          <w:szCs w:val="24"/>
        </w:rPr>
        <w:t xml:space="preserve"> to meet Industry 4.0 demands (e.g., AI, IoT, cybersecurity, automation).</w:t>
      </w:r>
    </w:p>
    <w:p w14:paraId="1B384295"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National Human Capital Policy - Focuses on developing a future-ready workforce, TVET is positioned as a critical enabler of economic growth and productivity.</w:t>
      </w:r>
    </w:p>
    <w:p w14:paraId="585F1F20"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National Skills Development Policy - Governs the Malaysian Skills Certification System (</w:t>
      </w:r>
      <w:proofErr w:type="spellStart"/>
      <w:r>
        <w:rPr>
          <w:rFonts w:ascii="Times New Roman" w:hAnsi="Times New Roman" w:cs="Times New Roman"/>
          <w:kern w:val="0"/>
          <w:szCs w:val="24"/>
        </w:rPr>
        <w:t>Sijil</w:t>
      </w:r>
      <w:proofErr w:type="spellEnd"/>
      <w:r>
        <w:rPr>
          <w:rFonts w:ascii="Times New Roman" w:hAnsi="Times New Roman" w:cs="Times New Roman"/>
          <w:kern w:val="0"/>
          <w:szCs w:val="24"/>
        </w:rPr>
        <w:t xml:space="preserve"> Kemahiran Malaysia, SKM), provides structured skill development pathways from basic to advanced levels.</w:t>
      </w:r>
    </w:p>
    <w:p w14:paraId="5439F606" w14:textId="0A480C62" w:rsidR="0045074B" w:rsidRDefault="00000000">
      <w:pPr>
        <w:pStyle w:val="ListParagraph"/>
        <w:numPr>
          <w:ilvl w:val="0"/>
          <w:numId w:val="6"/>
        </w:numPr>
        <w:spacing w:after="0" w:line="240" w:lineRule="auto"/>
        <w:jc w:val="both"/>
        <w:rPr>
          <w:rFonts w:ascii="Times New Roman" w:eastAsia="SimSun" w:hAnsi="Times New Roman" w:cs="Times New Roman"/>
          <w:b/>
          <w:bCs/>
          <w:kern w:val="0"/>
          <w:szCs w:val="24"/>
        </w:rPr>
      </w:pPr>
      <w:r>
        <w:rPr>
          <w:rFonts w:ascii="Times New Roman" w:eastAsia="SimSun" w:hAnsi="Times New Roman" w:cs="Times New Roman"/>
          <w:b/>
          <w:bCs/>
          <w:kern w:val="0"/>
          <w:szCs w:val="24"/>
        </w:rPr>
        <w:t xml:space="preserve">The Philippines: </w:t>
      </w:r>
      <w:r>
        <w:rPr>
          <w:rFonts w:ascii="Times New Roman" w:eastAsia="SimSun" w:hAnsi="Times New Roman" w:cs="Times New Roman"/>
          <w:kern w:val="0"/>
          <w:szCs w:val="24"/>
        </w:rPr>
        <w:t xml:space="preserve">Dir. Peter Marc D. </w:t>
      </w:r>
      <w:proofErr w:type="spellStart"/>
      <w:r>
        <w:rPr>
          <w:rFonts w:ascii="Times New Roman" w:eastAsia="SimSun" w:hAnsi="Times New Roman" w:cs="Times New Roman"/>
          <w:kern w:val="0"/>
          <w:szCs w:val="24"/>
        </w:rPr>
        <w:t>Magsalin</w:t>
      </w:r>
      <w:proofErr w:type="spellEnd"/>
      <w:r>
        <w:rPr>
          <w:rFonts w:ascii="Times New Roman" w:eastAsia="SimSun" w:hAnsi="Times New Roman" w:cs="Times New Roman"/>
          <w:kern w:val="0"/>
          <w:szCs w:val="24"/>
        </w:rPr>
        <w:t>, PhD</w:t>
      </w:r>
      <w:r w:rsidR="008902AC">
        <w:rPr>
          <w:rFonts w:ascii="Times New Roman" w:eastAsia="SimSun" w:hAnsi="Times New Roman" w:cs="Times New Roman"/>
          <w:kern w:val="0"/>
          <w:szCs w:val="24"/>
        </w:rPr>
        <w:t xml:space="preserve"> </w:t>
      </w:r>
      <w:r>
        <w:rPr>
          <w:rFonts w:ascii="Times New Roman" w:eastAsia="SimSun" w:hAnsi="Times New Roman" w:cs="Times New Roman"/>
          <w:kern w:val="0"/>
          <w:szCs w:val="24"/>
        </w:rPr>
        <w:t>(Director IV – TVET, Office of the Secretary of Department of Education)</w:t>
      </w:r>
    </w:p>
    <w:p w14:paraId="4EA0377E"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Key strategies to address the challenges of Skills mismatch, fragmented pathways, limited industry engagement including: </w:t>
      </w:r>
    </w:p>
    <w:p w14:paraId="737DCB84"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Strengthen Senior High and TVET alignment with labor market</w:t>
      </w:r>
    </w:p>
    <w:p w14:paraId="3BF572A0"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Institutionalize lifelong learning</w:t>
      </w:r>
    </w:p>
    <w:p w14:paraId="523B3EB6"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Enhance recognition of non-formal/informal learning</w:t>
      </w:r>
    </w:p>
    <w:p w14:paraId="45E1BD1C"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Invest in teacher and trainer capacity</w:t>
      </w:r>
    </w:p>
    <w:p w14:paraId="0020B1B8"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Foster multi-stakeholder collaboration </w:t>
      </w:r>
    </w:p>
    <w:p w14:paraId="014E8B75" w14:textId="77777777" w:rsidR="0045074B" w:rsidRDefault="0045074B">
      <w:pPr>
        <w:pStyle w:val="ListParagraph"/>
        <w:ind w:left="1350"/>
        <w:jc w:val="both"/>
        <w:rPr>
          <w:rFonts w:ascii="Times New Roman" w:hAnsi="Times New Roman" w:cs="Times New Roman"/>
          <w:szCs w:val="24"/>
        </w:rPr>
      </w:pPr>
    </w:p>
    <w:p w14:paraId="3D48B00B" w14:textId="77777777" w:rsidR="0045074B" w:rsidRDefault="00000000">
      <w:pPr>
        <w:pStyle w:val="ListParagraph"/>
        <w:numPr>
          <w:ilvl w:val="0"/>
          <w:numId w:val="8"/>
        </w:numPr>
        <w:ind w:left="1350"/>
        <w:jc w:val="both"/>
        <w:rPr>
          <w:rFonts w:ascii="Times New Roman" w:hAnsi="Times New Roman" w:cs="Times New Roman"/>
          <w:szCs w:val="24"/>
        </w:rPr>
      </w:pPr>
      <w:proofErr w:type="spellStart"/>
      <w:r>
        <w:rPr>
          <w:rFonts w:ascii="Times New Roman" w:hAnsi="Times New Roman" w:cs="Times New Roman"/>
          <w:szCs w:val="24"/>
        </w:rPr>
        <w:t>DeEd’s</w:t>
      </w:r>
      <w:proofErr w:type="spellEnd"/>
      <w:r>
        <w:rPr>
          <w:rFonts w:ascii="Times New Roman" w:hAnsi="Times New Roman" w:cs="Times New Roman"/>
          <w:szCs w:val="24"/>
        </w:rPr>
        <w:t xml:space="preserve"> Alternative Learning System (ALS) </w:t>
      </w:r>
      <w:proofErr w:type="spellStart"/>
      <w:r>
        <w:rPr>
          <w:rFonts w:ascii="Times New Roman" w:hAnsi="Times New Roman" w:cs="Times New Roman"/>
          <w:szCs w:val="24"/>
        </w:rPr>
        <w:t>Prgoram</w:t>
      </w:r>
      <w:proofErr w:type="spellEnd"/>
      <w:r>
        <w:rPr>
          <w:rFonts w:ascii="Times New Roman" w:hAnsi="Times New Roman" w:cs="Times New Roman"/>
          <w:szCs w:val="24"/>
        </w:rPr>
        <w:t xml:space="preserve"> provides non-formal education for out-of-school youth, adults and marginalized groups by implementing flexible learning pathways, modular and community-based instruction.</w:t>
      </w:r>
    </w:p>
    <w:p w14:paraId="2896621D"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Key features of Enterprise-Based Education and Training Framework Act (2024): </w:t>
      </w:r>
    </w:p>
    <w:p w14:paraId="2C3EAF9A"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Expand enterprise-based learning opportunities including apprenticeships, on-the-job- training and upskilling programs </w:t>
      </w:r>
    </w:p>
    <w:p w14:paraId="7BE38234"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Requires all EBET programs to be registered with TESDA, ensuring competency-based and industry-aligned standards</w:t>
      </w:r>
    </w:p>
    <w:p w14:paraId="62070E3C"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Provides trainees with allowances and incentivizes participating enterprises through tax benefits</w:t>
      </w:r>
    </w:p>
    <w:p w14:paraId="43B9EBB0"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lastRenderedPageBreak/>
        <w:t xml:space="preserve">Promotes collaboration across government agencies, industries and TVET institutions </w:t>
      </w:r>
    </w:p>
    <w:p w14:paraId="4E939B40"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Key elements of the Lifelong Learning Development Framework Act </w:t>
      </w:r>
    </w:p>
    <w:p w14:paraId="0FB7B7B3" w14:textId="08F4E24D"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Expands access to formal education </w:t>
      </w:r>
      <w:r w:rsidR="008902AC">
        <w:rPr>
          <w:rFonts w:ascii="Times New Roman" w:hAnsi="Times New Roman" w:cs="Times New Roman"/>
          <w:kern w:val="0"/>
          <w:szCs w:val="24"/>
        </w:rPr>
        <w:t>beyond</w:t>
      </w:r>
      <w:r>
        <w:rPr>
          <w:rFonts w:ascii="Times New Roman" w:hAnsi="Times New Roman" w:cs="Times New Roman"/>
          <w:kern w:val="0"/>
          <w:szCs w:val="24"/>
        </w:rPr>
        <w:t xml:space="preserve"> formal classrooms</w:t>
      </w:r>
    </w:p>
    <w:p w14:paraId="160F1284" w14:textId="4B9C1077" w:rsidR="0045074B" w:rsidRDefault="008902AC">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Strengthens</w:t>
      </w:r>
      <w:r w:rsidR="00000000">
        <w:rPr>
          <w:rFonts w:ascii="Times New Roman" w:hAnsi="Times New Roman" w:cs="Times New Roman"/>
          <w:kern w:val="0"/>
          <w:szCs w:val="24"/>
        </w:rPr>
        <w:t xml:space="preserve"> the Philippine </w:t>
      </w:r>
      <w:r>
        <w:rPr>
          <w:rFonts w:ascii="Times New Roman" w:hAnsi="Times New Roman" w:cs="Times New Roman"/>
          <w:kern w:val="0"/>
          <w:szCs w:val="24"/>
        </w:rPr>
        <w:t>qualifications</w:t>
      </w:r>
      <w:r w:rsidR="00000000">
        <w:rPr>
          <w:rFonts w:ascii="Times New Roman" w:hAnsi="Times New Roman" w:cs="Times New Roman"/>
          <w:kern w:val="0"/>
          <w:szCs w:val="24"/>
        </w:rPr>
        <w:t xml:space="preserve"> Framework (PQF) by broadening inter-agency coordination</w:t>
      </w:r>
    </w:p>
    <w:p w14:paraId="5B46062D"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Introduces “Learning Cities” and “Learning Municipalities” to promote community-based lifelong learning.</w:t>
      </w:r>
    </w:p>
    <w:p w14:paraId="2867DD57" w14:textId="7C8FAEA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 xml:space="preserve">Supports upskilling and reskilling for students, workers, </w:t>
      </w:r>
      <w:r w:rsidR="008902AC">
        <w:rPr>
          <w:rFonts w:ascii="Times New Roman" w:hAnsi="Times New Roman" w:cs="Times New Roman"/>
          <w:kern w:val="0"/>
          <w:szCs w:val="24"/>
        </w:rPr>
        <w:t>entrepreneurs,</w:t>
      </w:r>
      <w:r>
        <w:rPr>
          <w:rFonts w:ascii="Times New Roman" w:hAnsi="Times New Roman" w:cs="Times New Roman"/>
          <w:kern w:val="0"/>
          <w:szCs w:val="24"/>
        </w:rPr>
        <w:t xml:space="preserve"> and senior citizens</w:t>
      </w:r>
    </w:p>
    <w:p w14:paraId="63EBBD1E" w14:textId="77777777" w:rsidR="00D67615" w:rsidRDefault="00D67615" w:rsidP="00D67615">
      <w:pPr>
        <w:pStyle w:val="ListParagraph"/>
        <w:spacing w:line="240" w:lineRule="auto"/>
        <w:ind w:left="2160"/>
        <w:jc w:val="both"/>
        <w:rPr>
          <w:rFonts w:ascii="Times New Roman" w:hAnsi="Times New Roman" w:cs="Times New Roman"/>
          <w:kern w:val="0"/>
          <w:szCs w:val="24"/>
        </w:rPr>
      </w:pPr>
    </w:p>
    <w:p w14:paraId="33A32926" w14:textId="3A08C764" w:rsidR="0045074B" w:rsidRDefault="00000000">
      <w:pPr>
        <w:pStyle w:val="ListParagraph"/>
        <w:numPr>
          <w:ilvl w:val="0"/>
          <w:numId w:val="6"/>
        </w:numPr>
        <w:spacing w:after="0" w:line="240" w:lineRule="auto"/>
        <w:jc w:val="both"/>
        <w:rPr>
          <w:rFonts w:ascii="Times New Roman" w:eastAsia="SimSun" w:hAnsi="Times New Roman" w:cs="Times New Roman"/>
          <w:b/>
          <w:bCs/>
          <w:kern w:val="0"/>
          <w:szCs w:val="24"/>
        </w:rPr>
      </w:pPr>
      <w:r>
        <w:rPr>
          <w:rFonts w:ascii="Times New Roman" w:eastAsia="SimSun" w:hAnsi="Times New Roman" w:cs="Times New Roman"/>
          <w:b/>
          <w:bCs/>
          <w:kern w:val="0"/>
          <w:szCs w:val="24"/>
        </w:rPr>
        <w:t xml:space="preserve">Thailand: </w:t>
      </w:r>
      <w:proofErr w:type="spellStart"/>
      <w:r>
        <w:rPr>
          <w:rFonts w:ascii="Times New Roman" w:eastAsia="SimSun" w:hAnsi="Times New Roman" w:cs="Times New Roman"/>
          <w:b/>
          <w:bCs/>
          <w:kern w:val="0"/>
          <w:szCs w:val="24"/>
        </w:rPr>
        <w:t>Asst.</w:t>
      </w:r>
      <w:r>
        <w:rPr>
          <w:rFonts w:ascii="Times New Roman" w:eastAsia="SimSun" w:hAnsi="Times New Roman" w:cs="Times New Roman"/>
          <w:kern w:val="0"/>
          <w:szCs w:val="24"/>
        </w:rPr>
        <w:t>Prof</w:t>
      </w:r>
      <w:proofErr w:type="spellEnd"/>
      <w:r>
        <w:rPr>
          <w:rFonts w:ascii="Times New Roman" w:eastAsia="SimSun" w:hAnsi="Times New Roman" w:cs="Times New Roman"/>
          <w:kern w:val="0"/>
          <w:szCs w:val="24"/>
        </w:rPr>
        <w:t xml:space="preserve">. </w:t>
      </w:r>
      <w:proofErr w:type="spellStart"/>
      <w:r>
        <w:rPr>
          <w:rFonts w:ascii="Times New Roman" w:eastAsia="SimSun" w:hAnsi="Times New Roman" w:cs="Times New Roman"/>
          <w:kern w:val="0"/>
          <w:szCs w:val="24"/>
        </w:rPr>
        <w:t>Phanita</w:t>
      </w:r>
      <w:proofErr w:type="spellEnd"/>
      <w:r>
        <w:rPr>
          <w:rFonts w:ascii="Times New Roman" w:eastAsia="SimSun" w:hAnsi="Times New Roman" w:cs="Times New Roman"/>
          <w:kern w:val="0"/>
          <w:szCs w:val="24"/>
        </w:rPr>
        <w:t xml:space="preserve"> </w:t>
      </w:r>
      <w:proofErr w:type="spellStart"/>
      <w:r>
        <w:rPr>
          <w:rFonts w:ascii="Times New Roman" w:eastAsia="SimSun" w:hAnsi="Times New Roman" w:cs="Times New Roman"/>
          <w:kern w:val="0"/>
          <w:szCs w:val="24"/>
        </w:rPr>
        <w:t>Phakdi</w:t>
      </w:r>
      <w:proofErr w:type="spellEnd"/>
      <w:r>
        <w:rPr>
          <w:rFonts w:ascii="Times New Roman" w:eastAsia="SimSun" w:hAnsi="Times New Roman" w:cs="Times New Roman"/>
          <w:kern w:val="0"/>
          <w:szCs w:val="24"/>
        </w:rPr>
        <w:t>, Ph.D. (Thailand)</w:t>
      </w:r>
    </w:p>
    <w:p w14:paraId="156E68C7" w14:textId="511A4B44"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National Policies and Frameworks on Adult Education and Lifelong Learning includes the National Education Act (1999, amended 2002</w:t>
      </w:r>
      <w:r w:rsidR="008902AC">
        <w:rPr>
          <w:rFonts w:ascii="Times New Roman" w:hAnsi="Times New Roman" w:cs="Times New Roman"/>
          <w:szCs w:val="24"/>
        </w:rPr>
        <w:t>), The</w:t>
      </w:r>
      <w:r>
        <w:rPr>
          <w:rFonts w:ascii="Times New Roman" w:hAnsi="Times New Roman" w:cs="Times New Roman"/>
          <w:szCs w:val="24"/>
        </w:rPr>
        <w:t xml:space="preserve"> 20-Year National Strategy (2018–2037), and National Scheme of Education (2017–2036)</w:t>
      </w:r>
    </w:p>
    <w:p w14:paraId="47B66931" w14:textId="4FFCBF30" w:rsidR="0045074B" w:rsidRDefault="00000000">
      <w:pPr>
        <w:pStyle w:val="ListParagraph"/>
        <w:numPr>
          <w:ilvl w:val="0"/>
          <w:numId w:val="8"/>
        </w:numPr>
        <w:ind w:left="1350"/>
        <w:jc w:val="both"/>
        <w:rPr>
          <w:rFonts w:ascii="Times New Roman" w:hAnsi="Times New Roman" w:cs="Times New Roman"/>
          <w:szCs w:val="24"/>
        </w:rPr>
      </w:pPr>
      <w:proofErr w:type="spellStart"/>
      <w:r>
        <w:rPr>
          <w:rFonts w:ascii="Times New Roman" w:hAnsi="Times New Roman" w:cs="Times New Roman"/>
          <w:szCs w:val="24"/>
        </w:rPr>
        <w:t>Programmes</w:t>
      </w:r>
      <w:proofErr w:type="spellEnd"/>
      <w:r>
        <w:rPr>
          <w:rFonts w:ascii="Times New Roman" w:hAnsi="Times New Roman" w:cs="Times New Roman"/>
          <w:szCs w:val="24"/>
        </w:rPr>
        <w:t xml:space="preserve"> and Initiatives of </w:t>
      </w:r>
      <w:r w:rsidR="008902AC">
        <w:rPr>
          <w:rFonts w:ascii="Times New Roman" w:hAnsi="Times New Roman" w:cs="Times New Roman"/>
          <w:szCs w:val="24"/>
        </w:rPr>
        <w:t>lifelong</w:t>
      </w:r>
      <w:r>
        <w:rPr>
          <w:rFonts w:ascii="Times New Roman" w:hAnsi="Times New Roman" w:cs="Times New Roman"/>
          <w:szCs w:val="24"/>
        </w:rPr>
        <w:t xml:space="preserve"> learning: </w:t>
      </w:r>
    </w:p>
    <w:p w14:paraId="3BEE60E8"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Non-Formal and Informal Education Centers (NFIECs)</w:t>
      </w:r>
    </w:p>
    <w:p w14:paraId="43087188"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Village Learning Centers***</w:t>
      </w:r>
    </w:p>
    <w:p w14:paraId="35F852A9"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Digital Learning Platforms</w:t>
      </w:r>
    </w:p>
    <w:p w14:paraId="1287F896"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Skills Development Initiatives</w:t>
      </w:r>
    </w:p>
    <w:p w14:paraId="05584825" w14:textId="77777777" w:rsidR="0045074B" w:rsidRDefault="0045074B">
      <w:pPr>
        <w:pStyle w:val="ListParagraph"/>
        <w:ind w:left="2160"/>
        <w:jc w:val="both"/>
        <w:rPr>
          <w:rFonts w:ascii="Times New Roman" w:hAnsi="Times New Roman" w:cs="Times New Roman"/>
          <w:szCs w:val="24"/>
        </w:rPr>
      </w:pPr>
    </w:p>
    <w:p w14:paraId="26D46904" w14:textId="68DAF85B"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Smart farming </w:t>
      </w:r>
      <w:r w:rsidR="008902AC">
        <w:rPr>
          <w:rFonts w:ascii="Times New Roman" w:hAnsi="Times New Roman" w:cs="Times New Roman"/>
          <w:szCs w:val="24"/>
        </w:rPr>
        <w:t>for local</w:t>
      </w:r>
      <w:r>
        <w:rPr>
          <w:rFonts w:ascii="Times New Roman" w:hAnsi="Times New Roman" w:cs="Times New Roman"/>
          <w:szCs w:val="24"/>
        </w:rPr>
        <w:t xml:space="preserve"> needs Project is a good initiative that can lead to a high adult literacy rate and broad access, build Community-based learning hubs and Digital platforms </w:t>
      </w:r>
    </w:p>
    <w:p w14:paraId="3DCD936C" w14:textId="77777777" w:rsidR="0045074B" w:rsidRDefault="0045074B">
      <w:pPr>
        <w:pStyle w:val="ListParagraph"/>
        <w:ind w:left="1350"/>
        <w:jc w:val="both"/>
        <w:rPr>
          <w:rFonts w:ascii="Times New Roman" w:hAnsi="Times New Roman" w:cs="Times New Roman"/>
          <w:szCs w:val="24"/>
        </w:rPr>
      </w:pPr>
    </w:p>
    <w:p w14:paraId="129D6F54" w14:textId="77777777" w:rsidR="0045074B" w:rsidRDefault="00000000">
      <w:pPr>
        <w:pStyle w:val="ListParagraph"/>
        <w:numPr>
          <w:ilvl w:val="0"/>
          <w:numId w:val="6"/>
        </w:numPr>
        <w:spacing w:after="0" w:line="240" w:lineRule="auto"/>
        <w:jc w:val="both"/>
        <w:rPr>
          <w:rFonts w:ascii="Times New Roman" w:eastAsia="SimSun" w:hAnsi="Times New Roman" w:cs="Times New Roman"/>
          <w:kern w:val="0"/>
          <w:szCs w:val="24"/>
        </w:rPr>
      </w:pPr>
      <w:r>
        <w:rPr>
          <w:rFonts w:ascii="Times New Roman" w:eastAsia="SimSun" w:hAnsi="Times New Roman" w:cs="Times New Roman"/>
          <w:b/>
          <w:bCs/>
          <w:kern w:val="0"/>
          <w:szCs w:val="24"/>
        </w:rPr>
        <w:t>Vietnam</w:t>
      </w:r>
      <w:r>
        <w:rPr>
          <w:rFonts w:ascii="Times New Roman" w:eastAsia="SimSun" w:hAnsi="Times New Roman" w:cs="Times New Roman"/>
          <w:kern w:val="0"/>
          <w:szCs w:val="24"/>
        </w:rPr>
        <w:t xml:space="preserve">: Nguyen Van Trang, </w:t>
      </w:r>
      <w:proofErr w:type="spellStart"/>
      <w:proofErr w:type="gramStart"/>
      <w:r>
        <w:rPr>
          <w:rFonts w:ascii="Times New Roman" w:eastAsia="SimSun" w:hAnsi="Times New Roman" w:cs="Times New Roman"/>
          <w:kern w:val="0"/>
          <w:szCs w:val="24"/>
        </w:rPr>
        <w:t>Ph.D</w:t>
      </w:r>
      <w:proofErr w:type="spellEnd"/>
      <w:proofErr w:type="gramEnd"/>
      <w:r>
        <w:rPr>
          <w:rFonts w:ascii="Times New Roman" w:eastAsia="SimSun" w:hAnsi="Times New Roman" w:cs="Times New Roman"/>
          <w:kern w:val="0"/>
          <w:szCs w:val="24"/>
        </w:rPr>
        <w:t xml:space="preserve"> (Ho Chi Minh City University of Technology and Education (HCMUTE)</w:t>
      </w:r>
    </w:p>
    <w:p w14:paraId="3CC49BDE" w14:textId="77777777" w:rsidR="0045074B" w:rsidRDefault="0045074B">
      <w:pPr>
        <w:pStyle w:val="ListParagraph"/>
        <w:spacing w:after="0" w:line="240" w:lineRule="auto"/>
        <w:jc w:val="both"/>
        <w:rPr>
          <w:rFonts w:ascii="Times New Roman" w:eastAsia="SimSun" w:hAnsi="Times New Roman" w:cs="Times New Roman"/>
          <w:b/>
          <w:bCs/>
          <w:kern w:val="0"/>
          <w:szCs w:val="24"/>
        </w:rPr>
      </w:pPr>
    </w:p>
    <w:p w14:paraId="5D9C6FE2"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Adult Education in VN: Literacy and continuing education centers, Programs for ethnic minorities and rural workers and Mobile training units and community learning centers</w:t>
      </w:r>
    </w:p>
    <w:p w14:paraId="557D21F1"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Vietnam's Educational Strategies: Aligning with International Frameworks</w:t>
      </w:r>
    </w:p>
    <w:p w14:paraId="3C8C0985"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Curriculum Reforms: New competency-based learning focuses on 21st-century skills. Critical thinking and creativity are key.</w:t>
      </w:r>
    </w:p>
    <w:p w14:paraId="63560D87"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Teacher Training: Continuous Professional Development programs enhance teacher skills. This ensures high-quality instruction.</w:t>
      </w:r>
    </w:p>
    <w:p w14:paraId="7751E88E" w14:textId="77777777"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kern w:val="0"/>
          <w:szCs w:val="24"/>
        </w:rPr>
        <w:t>STEM Investment: Investment in labs and equipment strengthens STEM education. Pilot programs like Cambridge International Examinations are in place.</w:t>
      </w:r>
    </w:p>
    <w:p w14:paraId="1C537ABC" w14:textId="174061A8"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Recent Innovations and Reforms </w:t>
      </w:r>
      <w:r w:rsidR="00A97335">
        <w:rPr>
          <w:rFonts w:ascii="Times New Roman" w:hAnsi="Times New Roman" w:cs="Times New Roman"/>
          <w:szCs w:val="24"/>
        </w:rPr>
        <w:t>includes AI</w:t>
      </w:r>
      <w:r>
        <w:rPr>
          <w:rFonts w:ascii="Times New Roman" w:hAnsi="Times New Roman" w:cs="Times New Roman"/>
          <w:szCs w:val="24"/>
        </w:rPr>
        <w:t xml:space="preserve"> and green skills in TVET, Integration of Industry 4.0 competencies and UNESCO Learning Cities and cross-sectoral policy coordination</w:t>
      </w:r>
    </w:p>
    <w:p w14:paraId="49984E8B" w14:textId="41627DD8" w:rsidR="0045074B" w:rsidRDefault="00000000">
      <w:pPr>
        <w:pStyle w:val="ListParagraph"/>
        <w:numPr>
          <w:ilvl w:val="1"/>
          <w:numId w:val="7"/>
        </w:numPr>
        <w:spacing w:line="240" w:lineRule="auto"/>
        <w:jc w:val="both"/>
        <w:rPr>
          <w:rFonts w:ascii="Times New Roman" w:hAnsi="Times New Roman" w:cs="Times New Roman"/>
          <w:kern w:val="0"/>
          <w:szCs w:val="24"/>
        </w:rPr>
      </w:pPr>
      <w:r>
        <w:rPr>
          <w:rFonts w:ascii="Times New Roman" w:hAnsi="Times New Roman" w:cs="Times New Roman"/>
          <w:szCs w:val="24"/>
        </w:rPr>
        <w:t xml:space="preserve">Strategies to overcome the challenges and align with global in lifelong learning including </w:t>
      </w:r>
      <w:r>
        <w:rPr>
          <w:rFonts w:ascii="Times New Roman" w:hAnsi="Times New Roman" w:cs="Times New Roman"/>
          <w:kern w:val="0"/>
          <w:szCs w:val="24"/>
        </w:rPr>
        <w:t xml:space="preserve">Expand Recognition of Prior Learning, </w:t>
      </w:r>
      <w:r w:rsidR="00A97335">
        <w:rPr>
          <w:rFonts w:ascii="Times New Roman" w:hAnsi="Times New Roman" w:cs="Times New Roman"/>
          <w:kern w:val="0"/>
          <w:szCs w:val="24"/>
        </w:rPr>
        <w:t>strengthen</w:t>
      </w:r>
      <w:r>
        <w:rPr>
          <w:rFonts w:ascii="Times New Roman" w:hAnsi="Times New Roman" w:cs="Times New Roman"/>
          <w:kern w:val="0"/>
          <w:szCs w:val="24"/>
        </w:rPr>
        <w:t xml:space="preserve"> data systems for adult learning, </w:t>
      </w:r>
      <w:r w:rsidR="00A97335">
        <w:rPr>
          <w:rFonts w:ascii="Times New Roman" w:hAnsi="Times New Roman" w:cs="Times New Roman"/>
          <w:kern w:val="0"/>
          <w:szCs w:val="24"/>
        </w:rPr>
        <w:t>foster</w:t>
      </w:r>
      <w:r>
        <w:rPr>
          <w:rFonts w:ascii="Times New Roman" w:hAnsi="Times New Roman" w:cs="Times New Roman"/>
          <w:kern w:val="0"/>
          <w:szCs w:val="24"/>
        </w:rPr>
        <w:t xml:space="preserve"> public-private partnerships in lifelong learning, </w:t>
      </w:r>
      <w:proofErr w:type="gramStart"/>
      <w:r>
        <w:rPr>
          <w:rFonts w:ascii="Times New Roman" w:hAnsi="Times New Roman" w:cs="Times New Roman"/>
          <w:kern w:val="0"/>
          <w:szCs w:val="24"/>
        </w:rPr>
        <w:t>Investing</w:t>
      </w:r>
      <w:proofErr w:type="gramEnd"/>
      <w:r>
        <w:rPr>
          <w:rFonts w:ascii="Times New Roman" w:hAnsi="Times New Roman" w:cs="Times New Roman"/>
          <w:kern w:val="0"/>
          <w:szCs w:val="24"/>
        </w:rPr>
        <w:t xml:space="preserve"> in digital literacy and Strengthening local governance </w:t>
      </w:r>
    </w:p>
    <w:p w14:paraId="730A18F0"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lastRenderedPageBreak/>
        <w:t>Challenges: Addressed Disparities by reducing regional gap in education outcome, Improved remote access (enhancing quality education in remote region…</w:t>
      </w:r>
    </w:p>
    <w:p w14:paraId="656BA559" w14:textId="15872E77" w:rsidR="0045074B" w:rsidRDefault="00000000">
      <w:pPr>
        <w:pStyle w:val="ListParagraph"/>
        <w:numPr>
          <w:ilvl w:val="0"/>
          <w:numId w:val="6"/>
        </w:numPr>
        <w:spacing w:after="0" w:line="240" w:lineRule="auto"/>
        <w:jc w:val="both"/>
        <w:rPr>
          <w:rFonts w:ascii="Times New Roman" w:eastAsia="SimSun" w:hAnsi="Times New Roman" w:cs="Times New Roman"/>
          <w:b/>
          <w:bCs/>
          <w:kern w:val="0"/>
          <w:szCs w:val="24"/>
        </w:rPr>
      </w:pPr>
      <w:r>
        <w:rPr>
          <w:rFonts w:ascii="Times New Roman" w:eastAsia="SimSun" w:hAnsi="Times New Roman" w:cs="Times New Roman"/>
          <w:b/>
          <w:bCs/>
          <w:kern w:val="0"/>
          <w:szCs w:val="24"/>
        </w:rPr>
        <w:t xml:space="preserve">Myanmar: </w:t>
      </w:r>
      <w:r>
        <w:rPr>
          <w:rFonts w:ascii="Times New Roman" w:eastAsia="SimSun" w:hAnsi="Times New Roman" w:cs="Times New Roman"/>
          <w:kern w:val="0"/>
          <w:szCs w:val="24"/>
        </w:rPr>
        <w:t xml:space="preserve">Dr. </w:t>
      </w:r>
      <w:proofErr w:type="spellStart"/>
      <w:r>
        <w:rPr>
          <w:rFonts w:ascii="Times New Roman" w:eastAsia="SimSun" w:hAnsi="Times New Roman" w:cs="Times New Roman"/>
          <w:kern w:val="0"/>
          <w:szCs w:val="24"/>
        </w:rPr>
        <w:t>Thaung</w:t>
      </w:r>
      <w:proofErr w:type="spellEnd"/>
      <w:r>
        <w:rPr>
          <w:rFonts w:ascii="Times New Roman" w:eastAsia="SimSun" w:hAnsi="Times New Roman" w:cs="Times New Roman"/>
          <w:kern w:val="0"/>
          <w:szCs w:val="24"/>
        </w:rPr>
        <w:t xml:space="preserve"> </w:t>
      </w:r>
      <w:proofErr w:type="spellStart"/>
      <w:r w:rsidR="00A97335">
        <w:rPr>
          <w:rFonts w:ascii="Times New Roman" w:eastAsia="SimSun" w:hAnsi="Times New Roman" w:cs="Times New Roman"/>
          <w:kern w:val="0"/>
          <w:szCs w:val="24"/>
        </w:rPr>
        <w:t>Htike</w:t>
      </w:r>
      <w:proofErr w:type="spellEnd"/>
      <w:r w:rsidR="00A97335">
        <w:rPr>
          <w:rFonts w:ascii="Times New Roman" w:eastAsia="SimSun" w:hAnsi="Times New Roman" w:cs="Times New Roman"/>
          <w:kern w:val="0"/>
          <w:szCs w:val="24"/>
        </w:rPr>
        <w:t xml:space="preserve"> (Acting</w:t>
      </w:r>
      <w:r>
        <w:rPr>
          <w:rFonts w:ascii="Times New Roman" w:eastAsia="SimSun" w:hAnsi="Times New Roman" w:cs="Times New Roman"/>
          <w:kern w:val="0"/>
          <w:szCs w:val="24"/>
        </w:rPr>
        <w:t xml:space="preserve"> Rector of </w:t>
      </w:r>
      <w:proofErr w:type="spellStart"/>
      <w:r>
        <w:rPr>
          <w:rFonts w:ascii="Times New Roman" w:eastAsia="SimSun" w:hAnsi="Times New Roman" w:cs="Times New Roman"/>
          <w:kern w:val="0"/>
          <w:szCs w:val="24"/>
        </w:rPr>
        <w:t>Pathein</w:t>
      </w:r>
      <w:proofErr w:type="spellEnd"/>
      <w:r>
        <w:rPr>
          <w:rFonts w:ascii="Times New Roman" w:eastAsia="SimSun" w:hAnsi="Times New Roman" w:cs="Times New Roman"/>
          <w:kern w:val="0"/>
          <w:szCs w:val="24"/>
        </w:rPr>
        <w:t xml:space="preserve"> University)</w:t>
      </w:r>
    </w:p>
    <w:p w14:paraId="6DB33267"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Gender-Sensitive Policies, Inclusive Education:  Ensure that girls and </w:t>
      </w:r>
      <w:r>
        <w:rPr>
          <w:rFonts w:ascii="Times New Roman" w:hAnsi="Times New Roman" w:cs="Times New Roman"/>
          <w:szCs w:val="24"/>
        </w:rPr>
        <w:tab/>
        <w:t>marginalized group have, equal access to education</w:t>
      </w:r>
      <w:r>
        <w:rPr>
          <w:rFonts w:ascii="Times New Roman" w:hAnsi="Times New Roman" w:cs="Times New Roman"/>
          <w:szCs w:val="24"/>
        </w:rPr>
        <w:tab/>
        <w:t>(Particularly in rural and conflict-affected areas)</w:t>
      </w:r>
    </w:p>
    <w:p w14:paraId="0EA188EA"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rPr>
        <w:t xml:space="preserve">Promote inclusive education by Creating classrooms that accommodate students with disabilities and Providing teachers with </w:t>
      </w:r>
      <w:r>
        <w:rPr>
          <w:rFonts w:ascii="Times New Roman" w:hAnsi="Times New Roman" w:cs="Times New Roman"/>
          <w:szCs w:val="24"/>
        </w:rPr>
        <w:tab/>
        <w:t>training to support diverse learning needs.</w:t>
      </w:r>
    </w:p>
    <w:p w14:paraId="660E3745" w14:textId="77777777" w:rsidR="0045074B" w:rsidRDefault="00000000">
      <w:pPr>
        <w:pStyle w:val="ListParagraph"/>
        <w:numPr>
          <w:ilvl w:val="0"/>
          <w:numId w:val="8"/>
        </w:numPr>
        <w:ind w:left="1350"/>
        <w:jc w:val="both"/>
        <w:rPr>
          <w:rFonts w:ascii="Times New Roman" w:hAnsi="Times New Roman" w:cs="Times New Roman"/>
          <w:szCs w:val="24"/>
        </w:rPr>
      </w:pPr>
      <w:r>
        <w:rPr>
          <w:rFonts w:ascii="Times New Roman" w:hAnsi="Times New Roman" w:cs="Times New Roman"/>
          <w:szCs w:val="24"/>
          <w:lang w:val="en-GB"/>
        </w:rPr>
        <w:t xml:space="preserve">Promote Technical and Vocational Training by: </w:t>
      </w:r>
    </w:p>
    <w:p w14:paraId="4A6B5018" w14:textId="77777777" w:rsidR="0045074B" w:rsidRDefault="00000000">
      <w:pPr>
        <w:pStyle w:val="ListParagraph"/>
        <w:numPr>
          <w:ilvl w:val="2"/>
          <w:numId w:val="8"/>
        </w:numPr>
        <w:jc w:val="both"/>
        <w:rPr>
          <w:rFonts w:ascii="Times New Roman" w:hAnsi="Times New Roman" w:cs="Times New Roman"/>
          <w:szCs w:val="24"/>
        </w:rPr>
      </w:pPr>
      <w:r>
        <w:rPr>
          <w:rFonts w:ascii="Times New Roman" w:hAnsi="Times New Roman" w:cs="Times New Roman"/>
          <w:szCs w:val="24"/>
          <w:lang w:val="en-GB"/>
        </w:rPr>
        <w:t xml:space="preserve">Equipping </w:t>
      </w:r>
      <w:r>
        <w:rPr>
          <w:rFonts w:ascii="Times New Roman" w:hAnsi="Times New Roman" w:cs="Times New Roman"/>
          <w:szCs w:val="24"/>
        </w:rPr>
        <w:t>youth with employable skills and creating pathways to sustainable livelihoods,</w:t>
      </w:r>
    </w:p>
    <w:p w14:paraId="11EC967E" w14:textId="6CA52DC5" w:rsidR="0045074B" w:rsidRDefault="00000000">
      <w:pPr>
        <w:pStyle w:val="ListParagraph"/>
        <w:numPr>
          <w:ilvl w:val="2"/>
          <w:numId w:val="8"/>
        </w:numPr>
        <w:jc w:val="both"/>
        <w:rPr>
          <w:rFonts w:ascii="Times New Roman" w:hAnsi="Times New Roman" w:cs="Times New Roman"/>
          <w:szCs w:val="24"/>
        </w:rPr>
      </w:pPr>
      <w:r>
        <w:rPr>
          <w:rFonts w:ascii="Times New Roman" w:hAnsi="Times New Roman" w:cs="Times New Roman"/>
          <w:szCs w:val="24"/>
        </w:rPr>
        <w:t xml:space="preserve">Establishing vocational training centers that teach marketable skills such as agriculture, </w:t>
      </w:r>
      <w:r w:rsidR="00D11393">
        <w:rPr>
          <w:rFonts w:ascii="Times New Roman" w:hAnsi="Times New Roman" w:cs="Times New Roman"/>
          <w:szCs w:val="24"/>
        </w:rPr>
        <w:t>livestock</w:t>
      </w:r>
      <w:r>
        <w:rPr>
          <w:rFonts w:ascii="Times New Roman" w:hAnsi="Times New Roman" w:cs="Times New Roman"/>
          <w:szCs w:val="24"/>
        </w:rPr>
        <w:t>, catering, tailoring, farming techniques, IT skills and so on</w:t>
      </w:r>
    </w:p>
    <w:p w14:paraId="3C561739" w14:textId="77777777" w:rsidR="0045074B" w:rsidRDefault="00000000">
      <w:pPr>
        <w:pStyle w:val="ListParagraph"/>
        <w:numPr>
          <w:ilvl w:val="2"/>
          <w:numId w:val="8"/>
        </w:numPr>
        <w:jc w:val="both"/>
        <w:rPr>
          <w:rFonts w:ascii="Times New Roman" w:hAnsi="Times New Roman" w:cs="Times New Roman"/>
          <w:szCs w:val="24"/>
        </w:rPr>
      </w:pPr>
      <w:r>
        <w:rPr>
          <w:rFonts w:ascii="Times New Roman" w:hAnsi="Times New Roman" w:cs="Times New Roman"/>
          <w:szCs w:val="24"/>
        </w:rPr>
        <w:t>Encouraging private sector to create internship opportunities to students</w:t>
      </w:r>
    </w:p>
    <w:p w14:paraId="4DC5A911" w14:textId="1A725244" w:rsidR="0045074B" w:rsidRDefault="00000000">
      <w:pPr>
        <w:pStyle w:val="ListParagraph"/>
        <w:numPr>
          <w:ilvl w:val="2"/>
          <w:numId w:val="8"/>
        </w:numPr>
        <w:jc w:val="both"/>
        <w:rPr>
          <w:rFonts w:ascii="Times New Roman" w:hAnsi="Times New Roman" w:cs="Times New Roman"/>
          <w:szCs w:val="24"/>
        </w:rPr>
      </w:pPr>
      <w:r>
        <w:rPr>
          <w:rFonts w:ascii="Times New Roman" w:hAnsi="Times New Roman" w:cs="Times New Roman"/>
          <w:szCs w:val="24"/>
        </w:rPr>
        <w:t xml:space="preserve">Micro-credits for education: offering micro-loan or scholarship to disadvantaged groups to complete </w:t>
      </w:r>
      <w:r w:rsidR="00D11393">
        <w:rPr>
          <w:rFonts w:ascii="Times New Roman" w:hAnsi="Times New Roman" w:cs="Times New Roman"/>
          <w:szCs w:val="24"/>
        </w:rPr>
        <w:t>their education</w:t>
      </w:r>
      <w:r>
        <w:rPr>
          <w:rFonts w:ascii="Times New Roman" w:hAnsi="Times New Roman" w:cs="Times New Roman"/>
          <w:szCs w:val="24"/>
        </w:rPr>
        <w:t>, attend vocation programs with mentoring and jobs placement for youth program</w:t>
      </w:r>
    </w:p>
    <w:p w14:paraId="6A3B7C47" w14:textId="1086DBCA" w:rsidR="00F63978" w:rsidRDefault="00F63978" w:rsidP="00F63978">
      <w:pPr>
        <w:pStyle w:val="ListParagraph"/>
        <w:numPr>
          <w:ilvl w:val="0"/>
          <w:numId w:val="8"/>
        </w:numPr>
        <w:jc w:val="both"/>
        <w:rPr>
          <w:rFonts w:ascii="Times New Roman" w:hAnsi="Times New Roman" w:cs="Times New Roman"/>
          <w:szCs w:val="24"/>
        </w:rPr>
      </w:pPr>
      <w:r>
        <w:rPr>
          <w:rFonts w:ascii="Times New Roman" w:eastAsia="Times New Roman" w:hAnsi="Times New Roman" w:cs="Times New Roman"/>
          <w:noProof/>
          <w:kern w:val="0"/>
          <w:szCs w:val="24"/>
          <w14:ligatures w14:val="none"/>
        </w:rPr>
        <w:drawing>
          <wp:anchor distT="0" distB="0" distL="114300" distR="114300" simplePos="0" relativeHeight="251677696" behindDoc="0" locked="0" layoutInCell="1" allowOverlap="1" wp14:anchorId="20AA90B4" wp14:editId="2CAC202C">
            <wp:simplePos x="0" y="0"/>
            <wp:positionH relativeFrom="column">
              <wp:posOffset>-913766</wp:posOffset>
            </wp:positionH>
            <wp:positionV relativeFrom="paragraph">
              <wp:posOffset>41910</wp:posOffset>
            </wp:positionV>
            <wp:extent cx="7793703" cy="3642360"/>
            <wp:effectExtent l="0" t="0" r="0" b="0"/>
            <wp:wrapSquare wrapText="bothSides"/>
            <wp:docPr id="10" name="Picture 10" descr="FA9A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A9A2902"/>
                    <pic:cNvPicPr>
                      <a:picLocks noChangeAspect="1"/>
                    </pic:cNvPicPr>
                  </pic:nvPicPr>
                  <pic:blipFill rotWithShape="1">
                    <a:blip r:embed="rId10"/>
                    <a:srcRect t="19090" b="10765"/>
                    <a:stretch>
                      <a:fillRect/>
                    </a:stretch>
                  </pic:blipFill>
                  <pic:spPr bwMode="auto">
                    <a:xfrm>
                      <a:off x="0" y="0"/>
                      <a:ext cx="7794051" cy="3642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D1DA8" w14:textId="77777777" w:rsidR="00720F8E" w:rsidRPr="00BE2173" w:rsidRDefault="001F2C0D" w:rsidP="00BE2173">
      <w:pPr>
        <w:pStyle w:val="ListParagraph"/>
        <w:numPr>
          <w:ilvl w:val="0"/>
          <w:numId w:val="12"/>
        </w:numPr>
        <w:ind w:left="360"/>
        <w:jc w:val="both"/>
        <w:rPr>
          <w:rFonts w:ascii="Times New Roman" w:hAnsi="Times New Roman" w:cs="Times New Roman"/>
          <w:b/>
          <w:bCs/>
          <w:szCs w:val="24"/>
        </w:rPr>
      </w:pPr>
      <w:r w:rsidRPr="00720F8E">
        <w:rPr>
          <w:rFonts w:ascii="Times New Roman" w:hAnsi="Times New Roman" w:cs="Times New Roman"/>
          <w:b/>
          <w:bCs/>
          <w:szCs w:val="24"/>
        </w:rPr>
        <w:t xml:space="preserve">Session II: </w:t>
      </w:r>
      <w:r w:rsidR="00720F8E" w:rsidRPr="00BE2173">
        <w:rPr>
          <w:rFonts w:ascii="Times New Roman" w:hAnsi="Times New Roman" w:cs="Times New Roman"/>
          <w:b/>
          <w:bCs/>
          <w:szCs w:val="24"/>
        </w:rPr>
        <w:t>Best practices in vocational education and adult education</w:t>
      </w:r>
    </w:p>
    <w:p w14:paraId="2C67B6B0" w14:textId="77777777" w:rsidR="00720F8E" w:rsidRDefault="00720F8E" w:rsidP="00BE2173">
      <w:pPr>
        <w:ind w:left="360"/>
        <w:rPr>
          <w:rFonts w:ascii="Times New Roman" w:eastAsia="SimSun" w:hAnsi="Times New Roman" w:cs="Times New Roman"/>
          <w:b/>
          <w:bCs/>
          <w:kern w:val="0"/>
          <w:sz w:val="22"/>
          <w:lang w:bidi="ar"/>
        </w:rPr>
      </w:pPr>
      <w:r w:rsidRPr="008D3401">
        <w:rPr>
          <w:rFonts w:ascii="Times New Roman" w:eastAsia="SimSun" w:hAnsi="Times New Roman" w:cs="Times New Roman"/>
          <w:b/>
          <w:bCs/>
          <w:kern w:val="0"/>
          <w:sz w:val="22"/>
          <w:lang w:bidi="ar"/>
        </w:rPr>
        <w:t xml:space="preserve">Moderator: Mr. </w:t>
      </w:r>
      <w:proofErr w:type="spellStart"/>
      <w:r w:rsidRPr="008D3401">
        <w:rPr>
          <w:rFonts w:ascii="Times New Roman" w:eastAsia="SimSun" w:hAnsi="Times New Roman" w:cs="Times New Roman"/>
          <w:b/>
          <w:bCs/>
          <w:kern w:val="0"/>
          <w:sz w:val="22"/>
          <w:lang w:bidi="ar"/>
        </w:rPr>
        <w:t>Suong</w:t>
      </w:r>
      <w:proofErr w:type="spellEnd"/>
      <w:r w:rsidRPr="008D3401">
        <w:rPr>
          <w:rFonts w:ascii="Times New Roman" w:eastAsia="SimSun" w:hAnsi="Times New Roman" w:cs="Times New Roman"/>
          <w:b/>
          <w:bCs/>
          <w:kern w:val="0"/>
          <w:sz w:val="22"/>
          <w:lang w:bidi="ar"/>
        </w:rPr>
        <w:t xml:space="preserve"> </w:t>
      </w:r>
      <w:proofErr w:type="spellStart"/>
      <w:r w:rsidRPr="008D3401">
        <w:rPr>
          <w:rFonts w:ascii="Times New Roman" w:eastAsia="SimSun" w:hAnsi="Times New Roman" w:cs="Times New Roman"/>
          <w:b/>
          <w:bCs/>
          <w:kern w:val="0"/>
          <w:sz w:val="22"/>
          <w:lang w:bidi="ar"/>
        </w:rPr>
        <w:t>Saruon</w:t>
      </w:r>
      <w:proofErr w:type="spellEnd"/>
      <w:r w:rsidRPr="008D3401">
        <w:rPr>
          <w:rFonts w:ascii="Times New Roman" w:eastAsia="SimSun" w:hAnsi="Times New Roman" w:cs="Times New Roman"/>
          <w:b/>
          <w:bCs/>
          <w:kern w:val="0"/>
          <w:sz w:val="22"/>
          <w:lang w:bidi="ar"/>
        </w:rPr>
        <w:t>, Head of Public Relations and Partnership, SEAMEO TED</w:t>
      </w:r>
    </w:p>
    <w:p w14:paraId="6F899D3C" w14:textId="365123E1" w:rsidR="00EA79B4" w:rsidRPr="008D3401" w:rsidRDefault="00EA79B4" w:rsidP="00BE2173">
      <w:pPr>
        <w:ind w:left="360"/>
        <w:rPr>
          <w:rFonts w:ascii="Times New Roman" w:eastAsia="SimSun" w:hAnsi="Times New Roman" w:cs="Times New Roman"/>
          <w:b/>
          <w:bCs/>
          <w:kern w:val="0"/>
          <w:sz w:val="22"/>
        </w:rPr>
      </w:pPr>
      <w:r>
        <w:rPr>
          <w:rFonts w:ascii="Times New Roman" w:eastAsia="SimSun" w:hAnsi="Times New Roman" w:cs="Times New Roman"/>
          <w:b/>
          <w:bCs/>
          <w:kern w:val="0"/>
          <w:sz w:val="22"/>
          <w:lang w:bidi="ar"/>
        </w:rPr>
        <w:t xml:space="preserve">Speakers: </w:t>
      </w:r>
    </w:p>
    <w:p w14:paraId="05864631" w14:textId="77777777" w:rsidR="00EA79B4" w:rsidRPr="00EA79B4" w:rsidRDefault="00EA79B4" w:rsidP="00EA79B4">
      <w:pPr>
        <w:pStyle w:val="NormalWeb"/>
        <w:numPr>
          <w:ilvl w:val="0"/>
          <w:numId w:val="14"/>
        </w:numPr>
        <w:spacing w:before="0" w:after="0"/>
      </w:pPr>
      <w:r w:rsidRPr="00EA79B4">
        <w:rPr>
          <w:b/>
        </w:rPr>
        <w:lastRenderedPageBreak/>
        <w:t>Cambodia</w:t>
      </w:r>
      <w:r w:rsidRPr="00EA79B4">
        <w:t xml:space="preserve">: Mr. Hem </w:t>
      </w:r>
      <w:proofErr w:type="spellStart"/>
      <w:r w:rsidRPr="00EA79B4">
        <w:t>Suntrakwadh</w:t>
      </w:r>
      <w:proofErr w:type="spellEnd"/>
      <w:r w:rsidRPr="00EA79B4">
        <w:t xml:space="preserve">, Acting Dean of Faculty of Science and technology, </w:t>
      </w:r>
      <w:proofErr w:type="spellStart"/>
      <w:r w:rsidRPr="00EA79B4">
        <w:t>Svay</w:t>
      </w:r>
      <w:proofErr w:type="spellEnd"/>
      <w:r w:rsidRPr="00EA79B4">
        <w:t xml:space="preserve"> </w:t>
      </w:r>
      <w:proofErr w:type="spellStart"/>
      <w:r w:rsidRPr="00EA79B4">
        <w:t>Rieng</w:t>
      </w:r>
      <w:proofErr w:type="spellEnd"/>
      <w:r w:rsidRPr="00EA79B4">
        <w:t xml:space="preserve"> University</w:t>
      </w:r>
    </w:p>
    <w:p w14:paraId="0B3F67E6" w14:textId="77777777" w:rsidR="00EA79B4" w:rsidRPr="00EA79B4" w:rsidRDefault="00EA79B4" w:rsidP="00EA79B4">
      <w:pPr>
        <w:pStyle w:val="NormalWeb"/>
        <w:numPr>
          <w:ilvl w:val="0"/>
          <w:numId w:val="14"/>
        </w:numPr>
        <w:spacing w:before="0" w:after="0"/>
      </w:pPr>
      <w:r w:rsidRPr="00EA79B4">
        <w:rPr>
          <w:b/>
        </w:rPr>
        <w:t>China</w:t>
      </w:r>
      <w:r w:rsidRPr="00EA79B4">
        <w:t xml:space="preserve">: Mr. TONG </w:t>
      </w:r>
      <w:proofErr w:type="spellStart"/>
      <w:r w:rsidRPr="00EA79B4">
        <w:t>Wuzhou</w:t>
      </w:r>
      <w:proofErr w:type="spellEnd"/>
      <w:r w:rsidRPr="00EA79B4">
        <w:t xml:space="preserve">, Principal of the Adult Secondary Cultural and Technical School of </w:t>
      </w:r>
      <w:proofErr w:type="spellStart"/>
      <w:r w:rsidRPr="00EA79B4">
        <w:t>Dajiahe</w:t>
      </w:r>
      <w:proofErr w:type="spellEnd"/>
      <w:r w:rsidRPr="00EA79B4">
        <w:t xml:space="preserve"> Town, </w:t>
      </w:r>
      <w:proofErr w:type="spellStart"/>
      <w:r w:rsidRPr="00EA79B4">
        <w:t>Ninghai</w:t>
      </w:r>
      <w:proofErr w:type="spellEnd"/>
      <w:r w:rsidRPr="00EA79B4">
        <w:t xml:space="preserve"> County, Zhejiang Province</w:t>
      </w:r>
    </w:p>
    <w:p w14:paraId="1A818879" w14:textId="77777777" w:rsidR="00EA79B4" w:rsidRPr="00EA79B4" w:rsidRDefault="00EA79B4" w:rsidP="00EA79B4">
      <w:pPr>
        <w:pStyle w:val="NormalWeb"/>
        <w:numPr>
          <w:ilvl w:val="0"/>
          <w:numId w:val="14"/>
        </w:numPr>
        <w:spacing w:before="0" w:after="0"/>
      </w:pPr>
      <w:r w:rsidRPr="00EA79B4">
        <w:rPr>
          <w:b/>
        </w:rPr>
        <w:t>China</w:t>
      </w:r>
      <w:r w:rsidRPr="00EA79B4">
        <w:t xml:space="preserve">: Mr. XU </w:t>
      </w:r>
      <w:proofErr w:type="spellStart"/>
      <w:r w:rsidRPr="00EA79B4">
        <w:t>Zuping</w:t>
      </w:r>
      <w:proofErr w:type="spellEnd"/>
      <w:r w:rsidRPr="00EA79B4">
        <w:t xml:space="preserve">, Principal of </w:t>
      </w:r>
      <w:proofErr w:type="spellStart"/>
      <w:r w:rsidRPr="00EA79B4">
        <w:t>Xikou</w:t>
      </w:r>
      <w:proofErr w:type="spellEnd"/>
      <w:r w:rsidRPr="00EA79B4">
        <w:t xml:space="preserve"> Town Adult Cultural and Technical School, </w:t>
      </w:r>
      <w:proofErr w:type="spellStart"/>
      <w:r w:rsidRPr="00EA79B4">
        <w:t>Fenghua</w:t>
      </w:r>
      <w:proofErr w:type="spellEnd"/>
      <w:r w:rsidRPr="00EA79B4">
        <w:t xml:space="preserve"> District, Ningbo, Zhejiang Province</w:t>
      </w:r>
    </w:p>
    <w:p w14:paraId="68CFC35A" w14:textId="765D39FC" w:rsidR="00EA79B4" w:rsidRPr="00EA79B4" w:rsidRDefault="00EA79B4" w:rsidP="00EA79B4">
      <w:pPr>
        <w:pStyle w:val="ListParagraph"/>
        <w:numPr>
          <w:ilvl w:val="0"/>
          <w:numId w:val="14"/>
        </w:numPr>
        <w:jc w:val="both"/>
        <w:rPr>
          <w:rFonts w:ascii="Times New Roman" w:eastAsia="SimSun" w:hAnsi="Times New Roman" w:cs="Times New Roman"/>
          <w:kern w:val="0"/>
          <w:szCs w:val="24"/>
        </w:rPr>
      </w:pPr>
      <w:r w:rsidRPr="00EA79B4">
        <w:rPr>
          <w:rFonts w:ascii="Times New Roman" w:eastAsia="SimSun" w:hAnsi="Times New Roman" w:cs="Times New Roman"/>
          <w:b/>
          <w:kern w:val="0"/>
          <w:szCs w:val="24"/>
          <w:lang w:bidi="ar"/>
        </w:rPr>
        <w:t>Lao PDR</w:t>
      </w:r>
      <w:r w:rsidRPr="00EA79B4">
        <w:rPr>
          <w:rFonts w:ascii="Times New Roman" w:eastAsia="SimSun" w:hAnsi="Times New Roman" w:cs="Times New Roman"/>
          <w:kern w:val="0"/>
          <w:szCs w:val="24"/>
          <w:lang w:bidi="ar"/>
        </w:rPr>
        <w:t xml:space="preserve">: Mr. </w:t>
      </w:r>
      <w:proofErr w:type="spellStart"/>
      <w:r w:rsidRPr="00EA79B4">
        <w:rPr>
          <w:rFonts w:ascii="Times New Roman" w:eastAsia="SimSun" w:hAnsi="Times New Roman" w:cs="Times New Roman"/>
          <w:kern w:val="0"/>
          <w:szCs w:val="24"/>
          <w:lang w:bidi="ar"/>
        </w:rPr>
        <w:t>Sengaloun</w:t>
      </w:r>
      <w:proofErr w:type="spellEnd"/>
      <w:r w:rsidRPr="00EA79B4">
        <w:rPr>
          <w:rFonts w:ascii="Times New Roman" w:eastAsia="SimSun" w:hAnsi="Times New Roman" w:cs="Times New Roman"/>
          <w:kern w:val="0"/>
          <w:szCs w:val="24"/>
          <w:lang w:bidi="ar"/>
        </w:rPr>
        <w:t xml:space="preserve"> </w:t>
      </w:r>
      <w:proofErr w:type="spellStart"/>
      <w:r w:rsidRPr="00EA79B4">
        <w:rPr>
          <w:rFonts w:ascii="Times New Roman" w:eastAsia="SimSun" w:hAnsi="Times New Roman" w:cs="Times New Roman"/>
          <w:kern w:val="0"/>
          <w:szCs w:val="24"/>
          <w:lang w:bidi="ar"/>
        </w:rPr>
        <w:t>Boutsady</w:t>
      </w:r>
      <w:proofErr w:type="spellEnd"/>
      <w:r w:rsidRPr="00EA79B4">
        <w:rPr>
          <w:rFonts w:ascii="Times New Roman" w:eastAsia="SimSun" w:hAnsi="Times New Roman" w:cs="Times New Roman"/>
          <w:kern w:val="0"/>
          <w:szCs w:val="24"/>
          <w:lang w:bidi="ar"/>
        </w:rPr>
        <w:t>, Deputy Director General, Department of N</w:t>
      </w:r>
      <w:r w:rsidRPr="00EA79B4">
        <w:rPr>
          <w:rFonts w:ascii="Times New Roman" w:eastAsia="SimSun" w:hAnsi="Times New Roman" w:cs="Times New Roman"/>
          <w:kern w:val="0"/>
          <w:szCs w:val="24"/>
        </w:rPr>
        <w:t>on-Formal Education, Ministry of Education and Sport</w:t>
      </w:r>
    </w:p>
    <w:p w14:paraId="63245389" w14:textId="77777777" w:rsidR="00EA79B4" w:rsidRPr="00EA79B4" w:rsidRDefault="00EA79B4" w:rsidP="00EA79B4">
      <w:pPr>
        <w:numPr>
          <w:ilvl w:val="0"/>
          <w:numId w:val="14"/>
        </w:numPr>
        <w:spacing w:after="0" w:line="240" w:lineRule="auto"/>
        <w:rPr>
          <w:rFonts w:ascii="Times New Roman" w:eastAsia="SimSun" w:hAnsi="Times New Roman" w:cs="Times New Roman"/>
          <w:kern w:val="0"/>
          <w:szCs w:val="24"/>
        </w:rPr>
      </w:pPr>
      <w:r w:rsidRPr="00EA79B4">
        <w:rPr>
          <w:rFonts w:ascii="Times New Roman" w:eastAsia="SimSun" w:hAnsi="Times New Roman" w:cs="Times New Roman"/>
          <w:b/>
          <w:bCs/>
          <w:kern w:val="0"/>
          <w:szCs w:val="24"/>
        </w:rPr>
        <w:t>Malaysia</w:t>
      </w:r>
      <w:r w:rsidRPr="00EA79B4">
        <w:rPr>
          <w:rFonts w:ascii="Times New Roman" w:eastAsia="SimSun" w:hAnsi="Times New Roman" w:cs="Times New Roman"/>
          <w:kern w:val="0"/>
          <w:szCs w:val="24"/>
        </w:rPr>
        <w:t xml:space="preserve">: Ms. Nur </w:t>
      </w:r>
      <w:proofErr w:type="spellStart"/>
      <w:r w:rsidRPr="00EA79B4">
        <w:rPr>
          <w:rFonts w:ascii="Times New Roman" w:eastAsia="SimSun" w:hAnsi="Times New Roman" w:cs="Times New Roman"/>
          <w:kern w:val="0"/>
          <w:szCs w:val="24"/>
        </w:rPr>
        <w:t>Azureen</w:t>
      </w:r>
      <w:proofErr w:type="spellEnd"/>
      <w:r w:rsidRPr="00EA79B4">
        <w:rPr>
          <w:rFonts w:ascii="Times New Roman" w:eastAsia="SimSun" w:hAnsi="Times New Roman" w:cs="Times New Roman"/>
          <w:kern w:val="0"/>
          <w:szCs w:val="24"/>
        </w:rPr>
        <w:t xml:space="preserve"> Binti Jaafar, Director, Hulu Selangor Community College </w:t>
      </w:r>
    </w:p>
    <w:p w14:paraId="03A593ED" w14:textId="77777777" w:rsidR="00EA79B4" w:rsidRPr="00EA79B4" w:rsidRDefault="00EA79B4" w:rsidP="00EA79B4">
      <w:pPr>
        <w:pStyle w:val="NormalWeb"/>
        <w:numPr>
          <w:ilvl w:val="0"/>
          <w:numId w:val="14"/>
        </w:numPr>
        <w:spacing w:before="0" w:after="0"/>
      </w:pPr>
      <w:r w:rsidRPr="00EA79B4">
        <w:rPr>
          <w:b/>
        </w:rPr>
        <w:t>The Philippines</w:t>
      </w:r>
      <w:r w:rsidRPr="00EA79B4">
        <w:t xml:space="preserve">: Dr. </w:t>
      </w:r>
      <w:proofErr w:type="spellStart"/>
      <w:r w:rsidRPr="00EA79B4">
        <w:t>Racidon</w:t>
      </w:r>
      <w:proofErr w:type="spellEnd"/>
      <w:r w:rsidRPr="00EA79B4">
        <w:t xml:space="preserve"> P. </w:t>
      </w:r>
      <w:proofErr w:type="spellStart"/>
      <w:r w:rsidRPr="00EA79B4">
        <w:t>Bernarte</w:t>
      </w:r>
      <w:proofErr w:type="spellEnd"/>
      <w:r w:rsidRPr="00EA79B4">
        <w:t xml:space="preserve">, University Professor/Managing Director, Holy Trinity University /Asia-Pacific Consortium of Researchers and Educators </w:t>
      </w:r>
    </w:p>
    <w:p w14:paraId="0228A6D2" w14:textId="77777777" w:rsidR="00EA79B4" w:rsidRPr="00EA79B4" w:rsidRDefault="00EA79B4" w:rsidP="00EA79B4">
      <w:pPr>
        <w:pStyle w:val="NormalWeb"/>
        <w:numPr>
          <w:ilvl w:val="0"/>
          <w:numId w:val="14"/>
        </w:numPr>
        <w:spacing w:before="0" w:after="0"/>
      </w:pPr>
      <w:r w:rsidRPr="00EA79B4">
        <w:rPr>
          <w:b/>
        </w:rPr>
        <w:t>The Philippines</w:t>
      </w:r>
      <w:r w:rsidRPr="00EA79B4">
        <w:t xml:space="preserve">: </w:t>
      </w:r>
      <w:r w:rsidRPr="00EA79B4">
        <w:rPr>
          <w:rFonts w:eastAsia="Microsoft YaHei"/>
          <w:color w:val="000000"/>
        </w:rPr>
        <w:t xml:space="preserve">Ms. Rita R. </w:t>
      </w:r>
      <w:proofErr w:type="spellStart"/>
      <w:r w:rsidRPr="00EA79B4">
        <w:rPr>
          <w:rFonts w:eastAsia="Microsoft YaHei"/>
          <w:color w:val="000000"/>
        </w:rPr>
        <w:t>Obsequio</w:t>
      </w:r>
      <w:proofErr w:type="spellEnd"/>
      <w:r w:rsidRPr="00EA79B4">
        <w:t>, Vocational School Superintendent, Camarines Sur Institute of Fisheries and Marine Sciences (CASIFMAS), TESDA Region V</w:t>
      </w:r>
    </w:p>
    <w:p w14:paraId="6C9470D9" w14:textId="77777777" w:rsidR="00EA79B4" w:rsidRPr="00EA79B4" w:rsidRDefault="00EA79B4" w:rsidP="00EA79B4">
      <w:pPr>
        <w:pStyle w:val="NormalWeb"/>
        <w:numPr>
          <w:ilvl w:val="0"/>
          <w:numId w:val="14"/>
        </w:numPr>
        <w:spacing w:before="0" w:after="0"/>
      </w:pPr>
      <w:r w:rsidRPr="00EA79B4">
        <w:rPr>
          <w:b/>
        </w:rPr>
        <w:t>Thailand</w:t>
      </w:r>
      <w:r w:rsidRPr="00EA79B4">
        <w:t xml:space="preserve">: Miss </w:t>
      </w:r>
      <w:proofErr w:type="spellStart"/>
      <w:r w:rsidRPr="00EA79B4">
        <w:t>Phimpicha</w:t>
      </w:r>
      <w:proofErr w:type="spellEnd"/>
      <w:r w:rsidRPr="00EA79B4">
        <w:t xml:space="preserve"> </w:t>
      </w:r>
      <w:proofErr w:type="spellStart"/>
      <w:r w:rsidRPr="00EA79B4">
        <w:t>Poonprasit</w:t>
      </w:r>
      <w:proofErr w:type="spellEnd"/>
      <w:r w:rsidRPr="00EA79B4">
        <w:t xml:space="preserve">, Deputy Director of </w:t>
      </w:r>
      <w:proofErr w:type="spellStart"/>
      <w:r w:rsidRPr="00EA79B4">
        <w:t>Nonghan</w:t>
      </w:r>
      <w:proofErr w:type="spellEnd"/>
      <w:r w:rsidRPr="00EA79B4">
        <w:t xml:space="preserve"> Industrial and Community Education College, Office of Vocational Education Commission, Ministry of Education, Thailand</w:t>
      </w:r>
    </w:p>
    <w:p w14:paraId="2490D411" w14:textId="15BA1545" w:rsidR="00EA79B4" w:rsidRPr="00EA79B4" w:rsidRDefault="00EA79B4" w:rsidP="00EA79B4">
      <w:pPr>
        <w:pStyle w:val="ListParagraph"/>
        <w:numPr>
          <w:ilvl w:val="0"/>
          <w:numId w:val="14"/>
        </w:numPr>
        <w:jc w:val="both"/>
        <w:rPr>
          <w:rFonts w:ascii="Times New Roman" w:hAnsi="Times New Roman" w:cs="Times New Roman"/>
          <w:kern w:val="0"/>
          <w:szCs w:val="24"/>
        </w:rPr>
      </w:pPr>
      <w:r w:rsidRPr="00EA79B4">
        <w:rPr>
          <w:rFonts w:ascii="Times New Roman" w:hAnsi="Times New Roman" w:cs="Times New Roman"/>
          <w:b/>
          <w:kern w:val="0"/>
          <w:szCs w:val="24"/>
        </w:rPr>
        <w:t>Vietnam</w:t>
      </w:r>
      <w:r w:rsidRPr="00EA79B4">
        <w:rPr>
          <w:rFonts w:ascii="Times New Roman" w:hAnsi="Times New Roman" w:cs="Times New Roman"/>
          <w:kern w:val="0"/>
          <w:szCs w:val="24"/>
        </w:rPr>
        <w:t xml:space="preserve">: </w:t>
      </w:r>
      <w:proofErr w:type="spellStart"/>
      <w:proofErr w:type="gramStart"/>
      <w:r w:rsidRPr="00EA79B4">
        <w:rPr>
          <w:rFonts w:ascii="Times New Roman" w:hAnsi="Times New Roman" w:cs="Times New Roman"/>
          <w:kern w:val="0"/>
          <w:szCs w:val="24"/>
        </w:rPr>
        <w:t>Dr.Nguyen</w:t>
      </w:r>
      <w:proofErr w:type="spellEnd"/>
      <w:proofErr w:type="gramEnd"/>
      <w:r w:rsidRPr="00EA79B4">
        <w:rPr>
          <w:rFonts w:ascii="Times New Roman" w:hAnsi="Times New Roman" w:cs="Times New Roman"/>
          <w:kern w:val="0"/>
          <w:szCs w:val="24"/>
        </w:rPr>
        <w:t xml:space="preserve"> Van Trang, Vice Dean, Faculty of Vehicle and Energy Engineering, Ho Chi Minh City University of Technology and Education (HCMUTE)</w:t>
      </w:r>
    </w:p>
    <w:p w14:paraId="0D548F33" w14:textId="77777777" w:rsidR="00EA79B4" w:rsidRDefault="00EA79B4" w:rsidP="00EA79B4">
      <w:pPr>
        <w:jc w:val="both"/>
        <w:rPr>
          <w:rFonts w:ascii="Times New Roman" w:hAnsi="Times New Roman" w:cs="Times New Roman"/>
          <w:b/>
          <w:bCs/>
          <w:szCs w:val="24"/>
        </w:rPr>
      </w:pPr>
      <w:r>
        <w:rPr>
          <w:rFonts w:ascii="Times New Roman" w:hAnsi="Times New Roman" w:cs="Times New Roman"/>
          <w:b/>
          <w:bCs/>
          <w:szCs w:val="24"/>
        </w:rPr>
        <w:t>Key Takeaway of China-ASEAN TVET Policymaker Workshop Session II on Transforming Learning for Sustainable Rural Development</w:t>
      </w:r>
    </w:p>
    <w:p w14:paraId="0B13C64E" w14:textId="77777777"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Lifelong Learning International Frameworks includes many actions and strategies to be considered. These are Skills for Green Transitions, Inclusive Training, Career Guidance, Digitalization of Training and Learning Centers, Work-Based Learning and apprenticeship, skills anticipation, Governance System and Policy and Finance and So on. </w:t>
      </w:r>
    </w:p>
    <w:p w14:paraId="10AB56C3" w14:textId="17884D05"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Collaboration and systematic development in </w:t>
      </w:r>
      <w:r w:rsidR="006C3113">
        <w:rPr>
          <w:rFonts w:ascii="Times New Roman" w:hAnsi="Times New Roman" w:cs="Times New Roman"/>
          <w:szCs w:val="24"/>
        </w:rPr>
        <w:t>Lifelong</w:t>
      </w:r>
      <w:r>
        <w:rPr>
          <w:rFonts w:ascii="Times New Roman" w:hAnsi="Times New Roman" w:cs="Times New Roman"/>
          <w:szCs w:val="24"/>
        </w:rPr>
        <w:t xml:space="preserve"> Learning need more active and comprehensive roles of all stakeholders from policy level to implementation level including community centers, schools and beneficiaries.</w:t>
      </w:r>
    </w:p>
    <w:p w14:paraId="182C21B4" w14:textId="7B0FD4BE"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Village/farming classroom play crucial roles in the new ways of improving learning of students through practical demonstrations and field activities, agricultural technologies, </w:t>
      </w:r>
      <w:r w:rsidR="006C3113">
        <w:rPr>
          <w:rFonts w:ascii="Times New Roman" w:hAnsi="Times New Roman" w:cs="Times New Roman"/>
          <w:szCs w:val="24"/>
        </w:rPr>
        <w:t>community or</w:t>
      </w:r>
      <w:r>
        <w:rPr>
          <w:rFonts w:ascii="Times New Roman" w:hAnsi="Times New Roman" w:cs="Times New Roman"/>
          <w:szCs w:val="24"/>
        </w:rPr>
        <w:t xml:space="preserve"> villager engagement and government support and other resources.</w:t>
      </w:r>
    </w:p>
    <w:p w14:paraId="7015A5F8" w14:textId="77777777"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Industrial-education linkage in integration in the skills training and market orientation are also important factor for lifelong learning. </w:t>
      </w:r>
    </w:p>
    <w:p w14:paraId="098D020D" w14:textId="2D3ED771"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Community Learning is the heart of </w:t>
      </w:r>
      <w:r w:rsidR="006C3113">
        <w:rPr>
          <w:rFonts w:ascii="Times New Roman" w:hAnsi="Times New Roman" w:cs="Times New Roman"/>
          <w:szCs w:val="24"/>
        </w:rPr>
        <w:t>lifelong</w:t>
      </w:r>
      <w:r>
        <w:rPr>
          <w:rFonts w:ascii="Times New Roman" w:hAnsi="Times New Roman" w:cs="Times New Roman"/>
          <w:szCs w:val="24"/>
        </w:rPr>
        <w:t xml:space="preserve"> learning development. Therefore, there is more need for a good system to activate the roles of target groups (students school leaders, and learners, industrial workers, professional executive and manager) and supporting groups. Strong partnership and </w:t>
      </w:r>
      <w:r w:rsidR="006C3113">
        <w:rPr>
          <w:rFonts w:ascii="Times New Roman" w:hAnsi="Times New Roman" w:cs="Times New Roman"/>
          <w:szCs w:val="24"/>
        </w:rPr>
        <w:t>wide range</w:t>
      </w:r>
      <w:r>
        <w:rPr>
          <w:rFonts w:ascii="Times New Roman" w:hAnsi="Times New Roman" w:cs="Times New Roman"/>
          <w:szCs w:val="24"/>
        </w:rPr>
        <w:t xml:space="preserve"> of academic programs relevant to community needs and responsive to the current market trend are very important.</w:t>
      </w:r>
    </w:p>
    <w:p w14:paraId="01945005" w14:textId="31CB95A5" w:rsidR="0045074B" w:rsidRDefault="006C3113"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Lifelong</w:t>
      </w:r>
      <w:r w:rsidR="00000000">
        <w:rPr>
          <w:rFonts w:ascii="Times New Roman" w:hAnsi="Times New Roman" w:cs="Times New Roman"/>
          <w:szCs w:val="24"/>
        </w:rPr>
        <w:t xml:space="preserve"> Learning with skills development can help improve social and economic development. </w:t>
      </w:r>
    </w:p>
    <w:p w14:paraId="31CE7222" w14:textId="18BC1987"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The roles of nation-wide learning centers at the community level enable to decentralize better adult learning and community education development. Therefore, it </w:t>
      </w:r>
      <w:r w:rsidR="006C3113">
        <w:rPr>
          <w:rFonts w:ascii="Times New Roman" w:hAnsi="Times New Roman" w:cs="Times New Roman"/>
          <w:szCs w:val="24"/>
        </w:rPr>
        <w:t>needs more</w:t>
      </w:r>
      <w:r>
        <w:rPr>
          <w:rFonts w:ascii="Times New Roman" w:hAnsi="Times New Roman" w:cs="Times New Roman"/>
          <w:szCs w:val="24"/>
        </w:rPr>
        <w:t xml:space="preserve"> </w:t>
      </w:r>
      <w:r>
        <w:rPr>
          <w:rFonts w:ascii="Times New Roman" w:hAnsi="Times New Roman" w:cs="Times New Roman"/>
          <w:szCs w:val="24"/>
        </w:rPr>
        <w:lastRenderedPageBreak/>
        <w:t>attention to push community engagement, serviced-learning, and public-</w:t>
      </w:r>
      <w:proofErr w:type="gramStart"/>
      <w:r>
        <w:rPr>
          <w:rFonts w:ascii="Times New Roman" w:hAnsi="Times New Roman" w:cs="Times New Roman"/>
          <w:szCs w:val="24"/>
        </w:rPr>
        <w:t>private  partnership</w:t>
      </w:r>
      <w:proofErr w:type="gramEnd"/>
      <w:r>
        <w:rPr>
          <w:rFonts w:ascii="Times New Roman" w:hAnsi="Times New Roman" w:cs="Times New Roman"/>
          <w:szCs w:val="24"/>
        </w:rPr>
        <w:t xml:space="preserve"> on learning community center development</w:t>
      </w:r>
    </w:p>
    <w:p w14:paraId="57FD6389" w14:textId="77777777"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It is very important to considered community-center to promote learning programs. Therefore, industrial-education linkage and partnership on curriculum innovation and digital technology enable to improve rural education and adult learning and skill development </w:t>
      </w:r>
    </w:p>
    <w:p w14:paraId="2EE0544D" w14:textId="77777777"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Skills Certification and promoting income generation during studies are lesson learnt in promoting skills development</w:t>
      </w:r>
    </w:p>
    <w:p w14:paraId="6F0EE1BD" w14:textId="77777777"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Improving accessibility and equity in technology in education need more availability of infrastructure and M&amp;E system</w:t>
      </w:r>
    </w:p>
    <w:p w14:paraId="28F712B6" w14:textId="6F855474" w:rsidR="0045074B" w:rsidRDefault="00000000"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szCs w:val="24"/>
        </w:rPr>
        <w:t xml:space="preserve">Art is also playing an important role in supporting education especially for rural education development </w:t>
      </w:r>
    </w:p>
    <w:p w14:paraId="29959E1F" w14:textId="098EDF8C" w:rsidR="0045074B" w:rsidRDefault="0098223F" w:rsidP="0041106A">
      <w:pPr>
        <w:pStyle w:val="ListParagraph"/>
        <w:numPr>
          <w:ilvl w:val="0"/>
          <w:numId w:val="15"/>
        </w:numPr>
        <w:ind w:left="630"/>
        <w:jc w:val="both"/>
        <w:rPr>
          <w:rFonts w:ascii="Times New Roman" w:hAnsi="Times New Roman" w:cs="Times New Roman"/>
          <w:szCs w:val="24"/>
        </w:rPr>
      </w:pPr>
      <w:r>
        <w:rPr>
          <w:rFonts w:ascii="Times New Roman" w:hAnsi="Times New Roman" w:cs="Times New Roman"/>
          <w:b/>
          <w:bCs/>
          <w:noProof/>
          <w:szCs w:val="24"/>
          <w:highlight w:val="yellow"/>
        </w:rPr>
        <w:drawing>
          <wp:anchor distT="0" distB="0" distL="114300" distR="114300" simplePos="0" relativeHeight="251673600" behindDoc="0" locked="0" layoutInCell="1" allowOverlap="1" wp14:anchorId="2B08D07E" wp14:editId="433AF806">
            <wp:simplePos x="0" y="0"/>
            <wp:positionH relativeFrom="column">
              <wp:posOffset>-913766</wp:posOffset>
            </wp:positionH>
            <wp:positionV relativeFrom="paragraph">
              <wp:posOffset>601345</wp:posOffset>
            </wp:positionV>
            <wp:extent cx="7791697" cy="3063240"/>
            <wp:effectExtent l="0" t="0" r="0" b="3810"/>
            <wp:wrapSquare wrapText="bothSides"/>
            <wp:docPr id="8" name="Picture 8" descr="FA9A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9A2932"/>
                    <pic:cNvPicPr>
                      <a:picLocks noChangeAspect="1"/>
                    </pic:cNvPicPr>
                  </pic:nvPicPr>
                  <pic:blipFill rotWithShape="1">
                    <a:blip r:embed="rId11"/>
                    <a:srcRect t="26092" b="14928"/>
                    <a:stretch>
                      <a:fillRect/>
                    </a:stretch>
                  </pic:blipFill>
                  <pic:spPr bwMode="auto">
                    <a:xfrm>
                      <a:off x="0" y="0"/>
                      <a:ext cx="7791697" cy="306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Cs w:val="24"/>
        </w:rPr>
        <w:t xml:space="preserve">Lifelong Learning must not stop when have a degree. It should be incorporate into a good learning system. </w:t>
      </w:r>
    </w:p>
    <w:p w14:paraId="0706C1E9" w14:textId="752CAA09" w:rsidR="0098223F" w:rsidRPr="00D67615" w:rsidRDefault="0098223F" w:rsidP="00D67615">
      <w:pPr>
        <w:jc w:val="both"/>
        <w:rPr>
          <w:rFonts w:ascii="Times New Roman" w:hAnsi="Times New Roman" w:cs="Times New Roman"/>
          <w:szCs w:val="24"/>
        </w:rPr>
      </w:pPr>
    </w:p>
    <w:p w14:paraId="6BDFC21B" w14:textId="7E71588A" w:rsidR="0045074B" w:rsidRPr="00BE2173" w:rsidRDefault="00BE2173" w:rsidP="00BE2173">
      <w:pPr>
        <w:pStyle w:val="ListParagraph"/>
        <w:numPr>
          <w:ilvl w:val="0"/>
          <w:numId w:val="12"/>
        </w:numPr>
        <w:ind w:left="360"/>
        <w:jc w:val="both"/>
        <w:rPr>
          <w:rFonts w:ascii="Times New Roman" w:hAnsi="Times New Roman" w:cs="Times New Roman"/>
          <w:b/>
          <w:bCs/>
          <w:szCs w:val="24"/>
        </w:rPr>
      </w:pPr>
      <w:r w:rsidRPr="00BE2173">
        <w:rPr>
          <w:rFonts w:ascii="Times New Roman" w:hAnsi="Times New Roman" w:cs="Times New Roman"/>
          <w:b/>
          <w:bCs/>
          <w:szCs w:val="24"/>
        </w:rPr>
        <w:t>Industrial, Educational</w:t>
      </w:r>
      <w:r w:rsidR="002C7F1E">
        <w:rPr>
          <w:rFonts w:ascii="Times New Roman" w:hAnsi="Times New Roman" w:cs="Times New Roman"/>
          <w:b/>
          <w:bCs/>
          <w:szCs w:val="24"/>
        </w:rPr>
        <w:t xml:space="preserve"> Investigation </w:t>
      </w:r>
      <w:r w:rsidRPr="00BE2173">
        <w:rPr>
          <w:rFonts w:ascii="Times New Roman" w:hAnsi="Times New Roman" w:cs="Times New Roman"/>
          <w:b/>
          <w:bCs/>
          <w:szCs w:val="24"/>
        </w:rPr>
        <w:t>and Cultural Visit</w:t>
      </w:r>
    </w:p>
    <w:p w14:paraId="02268484" w14:textId="25CB0B3C" w:rsidR="0045074B" w:rsidRDefault="00000000" w:rsidP="00BE2173">
      <w:pPr>
        <w:pStyle w:val="Heading4"/>
        <w:keepNext w:val="0"/>
        <w:keepLines w:val="0"/>
        <w:numPr>
          <w:ilvl w:val="0"/>
          <w:numId w:val="16"/>
        </w:numPr>
        <w:shd w:val="clear" w:color="auto" w:fill="FFFFFF"/>
        <w:spacing w:before="219" w:after="165" w:line="343" w:lineRule="atLeast"/>
        <w:jc w:val="both"/>
        <w:rPr>
          <w:rStyle w:val="Strong"/>
          <w:rFonts w:ascii="Times New Roman" w:eastAsia="Segoe UI" w:hAnsi="Times New Roman" w:cs="Times New Roman"/>
          <w:i w:val="0"/>
          <w:iCs w:val="0"/>
          <w:color w:val="404040"/>
          <w:szCs w:val="24"/>
          <w:shd w:val="clear" w:color="auto" w:fill="FFFFFF"/>
        </w:rPr>
      </w:pPr>
      <w:r>
        <w:rPr>
          <w:rStyle w:val="Strong"/>
          <w:rFonts w:ascii="Times New Roman" w:eastAsia="Segoe UI" w:hAnsi="Times New Roman" w:cs="Times New Roman"/>
          <w:i w:val="0"/>
          <w:iCs w:val="0"/>
          <w:color w:val="404040"/>
          <w:szCs w:val="24"/>
          <w:shd w:val="clear" w:color="auto" w:fill="FFFFFF"/>
        </w:rPr>
        <w:t>The Open University of China (OUC)</w:t>
      </w:r>
    </w:p>
    <w:p w14:paraId="7725266E" w14:textId="325FAB22" w:rsidR="00BE2173" w:rsidRDefault="00000000" w:rsidP="00BE2173">
      <w:pPr>
        <w:pStyle w:val="Heading4"/>
        <w:keepNext w:val="0"/>
        <w:keepLines w:val="0"/>
        <w:shd w:val="clear" w:color="auto" w:fill="FFFFFF"/>
        <w:spacing w:before="219" w:after="165" w:line="343" w:lineRule="atLeast"/>
        <w:ind w:left="720"/>
        <w:jc w:val="both"/>
        <w:rPr>
          <w:rStyle w:val="Strong"/>
          <w:rFonts w:ascii="Times New Roman" w:eastAsia="Segoe UI" w:hAnsi="Times New Roman" w:cs="Times New Roman"/>
          <w:b w:val="0"/>
          <w:bCs w:val="0"/>
          <w:i w:val="0"/>
          <w:iCs w:val="0"/>
          <w:color w:val="404040"/>
          <w:szCs w:val="24"/>
          <w:shd w:val="clear" w:color="auto" w:fill="FFFFFF"/>
        </w:rPr>
      </w:pPr>
      <w:r>
        <w:rPr>
          <w:rStyle w:val="Strong"/>
          <w:rFonts w:ascii="Times New Roman" w:eastAsia="Segoe UI" w:hAnsi="Times New Roman" w:cs="Times New Roman"/>
          <w:i w:val="0"/>
          <w:iCs w:val="0"/>
          <w:color w:val="404040"/>
          <w:szCs w:val="24"/>
          <w:shd w:val="clear" w:color="auto" w:fill="FFFFFF"/>
        </w:rPr>
        <w:t>Overview of OUC</w:t>
      </w:r>
      <w:r>
        <w:rPr>
          <w:rFonts w:ascii="Times New Roman" w:eastAsia="Segoe UI" w:hAnsi="Times New Roman" w:cs="Times New Roman"/>
          <w:i w:val="0"/>
          <w:iCs w:val="0"/>
          <w:color w:val="404040"/>
          <w:szCs w:val="24"/>
          <w:shd w:val="clear" w:color="auto" w:fill="FFFFFF"/>
        </w:rPr>
        <w:t xml:space="preserve">: The Open University of China (OUC) is a modern higher education institution directly supervised by China’s Ministry of Education (MOE). Committed to promoting lifelong learning, OUC provides open education nationwide, leveraging modern information technology under the "Internet Plus" initiative. It offers degree and non-degree programs, coordinates the national open education system, and serves as a public service </w:t>
      </w:r>
      <w:r>
        <w:rPr>
          <w:rFonts w:ascii="Times New Roman" w:eastAsia="Segoe UI" w:hAnsi="Times New Roman" w:cs="Times New Roman"/>
          <w:i w:val="0"/>
          <w:iCs w:val="0"/>
          <w:color w:val="404040"/>
          <w:szCs w:val="24"/>
          <w:shd w:val="clear" w:color="auto" w:fill="FFFFFF"/>
        </w:rPr>
        <w:lastRenderedPageBreak/>
        <w:t>platform for lifelong learning. OUC’s mission aligns with the principle that </w:t>
      </w:r>
      <w:r>
        <w:rPr>
          <w:rStyle w:val="Strong"/>
          <w:rFonts w:ascii="Times New Roman" w:eastAsia="Segoe UI" w:hAnsi="Times New Roman" w:cs="Times New Roman"/>
          <w:b w:val="0"/>
          <w:bCs w:val="0"/>
          <w:i w:val="0"/>
          <w:iCs w:val="0"/>
          <w:color w:val="404040"/>
          <w:szCs w:val="24"/>
          <w:shd w:val="clear" w:color="auto" w:fill="FFFFFF"/>
        </w:rPr>
        <w:t>"Everyone can study anytime, anywhere."</w:t>
      </w:r>
    </w:p>
    <w:p w14:paraId="64C3964A" w14:textId="1B3503DB" w:rsidR="0045074B" w:rsidRPr="00BE2173" w:rsidRDefault="00634792" w:rsidP="00BE2173">
      <w:pPr>
        <w:pStyle w:val="Heading4"/>
        <w:keepNext w:val="0"/>
        <w:keepLines w:val="0"/>
        <w:shd w:val="clear" w:color="auto" w:fill="FFFFFF"/>
        <w:spacing w:before="219" w:after="165" w:line="343" w:lineRule="atLeast"/>
        <w:ind w:left="720"/>
        <w:jc w:val="both"/>
        <w:rPr>
          <w:rFonts w:ascii="Times New Roman" w:hAnsi="Times New Roman" w:cs="Times New Roman"/>
          <w:szCs w:val="24"/>
        </w:rPr>
      </w:pPr>
      <w:r>
        <w:rPr>
          <w:noProof/>
        </w:rPr>
        <w:drawing>
          <wp:anchor distT="0" distB="0" distL="114300" distR="114300" simplePos="0" relativeHeight="251679744" behindDoc="1" locked="0" layoutInCell="1" allowOverlap="1" wp14:anchorId="444984C1" wp14:editId="7ECC73D5">
            <wp:simplePos x="0" y="0"/>
            <wp:positionH relativeFrom="column">
              <wp:posOffset>3008630</wp:posOffset>
            </wp:positionH>
            <wp:positionV relativeFrom="paragraph">
              <wp:posOffset>69850</wp:posOffset>
            </wp:positionV>
            <wp:extent cx="3849370" cy="1851660"/>
            <wp:effectExtent l="0" t="0" r="0" b="0"/>
            <wp:wrapTight wrapText="bothSides">
              <wp:wrapPolygon edited="0">
                <wp:start x="0" y="0"/>
                <wp:lineTo x="0" y="21333"/>
                <wp:lineTo x="21486" y="21333"/>
                <wp:lineTo x="21486" y="0"/>
                <wp:lineTo x="0" y="0"/>
              </wp:wrapPolygon>
            </wp:wrapTight>
            <wp:docPr id="1" name="Picture 1" descr="A group of people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a banner&#10;&#10;AI-generated content may be incorrect."/>
                    <pic:cNvPicPr>
                      <a:picLocks noChangeAspect="1"/>
                    </pic:cNvPicPr>
                  </pic:nvPicPr>
                  <pic:blipFill rotWithShape="1">
                    <a:blip r:embed="rId12" cstate="print">
                      <a:extLst>
                        <a:ext uri="{28A0092B-C50C-407E-A947-70E740481C1C}">
                          <a14:useLocalDpi xmlns:a14="http://schemas.microsoft.com/office/drawing/2010/main" val="0"/>
                        </a:ext>
                      </a:extLst>
                    </a:blip>
                    <a:srcRect t="14962" b="12870"/>
                    <a:stretch>
                      <a:fillRect/>
                    </a:stretch>
                  </pic:blipFill>
                  <pic:spPr bwMode="auto">
                    <a:xfrm>
                      <a:off x="0" y="0"/>
                      <a:ext cx="3849370"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rFonts w:ascii="Times New Roman" w:eastAsia="Segoe UI" w:hAnsi="Times New Roman" w:cs="Times New Roman"/>
          <w:i w:val="0"/>
          <w:iCs w:val="0"/>
          <w:color w:val="404040"/>
          <w:szCs w:val="24"/>
          <w:shd w:val="clear" w:color="auto" w:fill="FFFFFF"/>
        </w:rPr>
        <w:t>Visit Highlights</w:t>
      </w:r>
      <w:r>
        <w:rPr>
          <w:rFonts w:ascii="Times New Roman" w:eastAsia="Segoe UI" w:hAnsi="Times New Roman" w:cs="Times New Roman"/>
          <w:i w:val="0"/>
          <w:iCs w:val="0"/>
          <w:color w:val="404040"/>
          <w:szCs w:val="24"/>
          <w:shd w:val="clear" w:color="auto" w:fill="FFFFFF"/>
        </w:rPr>
        <w:t>:</w:t>
      </w:r>
      <w:r>
        <w:rPr>
          <w:rFonts w:eastAsia="Segoe UI" w:cs="Times New Roman"/>
          <w:i w:val="0"/>
          <w:iCs w:val="0"/>
          <w:color w:val="404040"/>
          <w:szCs w:val="24"/>
          <w:shd w:val="clear" w:color="auto" w:fill="FFFFFF"/>
        </w:rPr>
        <w:t xml:space="preserve"> </w:t>
      </w:r>
      <w:r>
        <w:rPr>
          <w:rFonts w:ascii="Times New Roman" w:eastAsia="Segoe UI" w:hAnsi="Times New Roman" w:cs="Times New Roman"/>
          <w:i w:val="0"/>
          <w:iCs w:val="0"/>
          <w:color w:val="404040"/>
          <w:szCs w:val="24"/>
          <w:shd w:val="clear" w:color="auto" w:fill="FFFFFF"/>
        </w:rPr>
        <w:t>Distinguished participants toured key facilities, including a </w:t>
      </w:r>
      <w:r>
        <w:rPr>
          <w:rStyle w:val="Strong"/>
          <w:rFonts w:ascii="Times New Roman" w:eastAsia="Segoe UI" w:hAnsi="Times New Roman" w:cs="Times New Roman"/>
          <w:b w:val="0"/>
          <w:bCs w:val="0"/>
          <w:i w:val="0"/>
          <w:iCs w:val="0"/>
          <w:color w:val="404040"/>
          <w:szCs w:val="24"/>
          <w:shd w:val="clear" w:color="auto" w:fill="FFFFFF"/>
        </w:rPr>
        <w:t>computer lab, virtual teaching classroom, experiential college, and the ASEAN-China Cooperation Centre</w:t>
      </w:r>
      <w:r>
        <w:rPr>
          <w:rFonts w:ascii="Times New Roman" w:eastAsia="Segoe UI" w:hAnsi="Times New Roman" w:cs="Times New Roman"/>
          <w:i w:val="0"/>
          <w:iCs w:val="0"/>
          <w:color w:val="404040"/>
          <w:szCs w:val="24"/>
          <w:shd w:val="clear" w:color="auto" w:fill="FFFFFF"/>
        </w:rPr>
        <w:t>. Later, they attended an institutional introduction session led by an acting dean, who highlighted advancements in </w:t>
      </w:r>
      <w:r>
        <w:rPr>
          <w:rStyle w:val="Strong"/>
          <w:rFonts w:ascii="Times New Roman" w:eastAsia="Segoe UI" w:hAnsi="Times New Roman" w:cs="Times New Roman"/>
          <w:b w:val="0"/>
          <w:bCs w:val="0"/>
          <w:i w:val="0"/>
          <w:iCs w:val="0"/>
          <w:color w:val="404040"/>
          <w:szCs w:val="24"/>
          <w:shd w:val="clear" w:color="auto" w:fill="FFFFFF"/>
        </w:rPr>
        <w:t>online teaching and learning</w:t>
      </w:r>
      <w:r>
        <w:rPr>
          <w:rFonts w:ascii="Times New Roman" w:eastAsia="Segoe UI" w:hAnsi="Times New Roman" w:cs="Times New Roman"/>
          <w:i w:val="0"/>
          <w:iCs w:val="0"/>
          <w:color w:val="404040"/>
          <w:szCs w:val="24"/>
          <w:shd w:val="clear" w:color="auto" w:fill="FFFFFF"/>
        </w:rPr>
        <w:t>. Notably, most students study remotely from across China. OUC operates </w:t>
      </w:r>
      <w:r>
        <w:rPr>
          <w:rStyle w:val="Strong"/>
          <w:rFonts w:ascii="Times New Roman" w:eastAsia="Segoe UI" w:hAnsi="Times New Roman" w:cs="Times New Roman"/>
          <w:b w:val="0"/>
          <w:bCs w:val="0"/>
          <w:i w:val="0"/>
          <w:iCs w:val="0"/>
          <w:color w:val="404040"/>
          <w:szCs w:val="24"/>
          <w:shd w:val="clear" w:color="auto" w:fill="FFFFFF"/>
        </w:rPr>
        <w:t>one headquarters, 44 provincial branches, and 2,692 learning centers</w:t>
      </w:r>
      <w:r>
        <w:rPr>
          <w:rFonts w:ascii="Times New Roman" w:eastAsia="Segoe UI" w:hAnsi="Times New Roman" w:cs="Times New Roman"/>
          <w:i w:val="0"/>
          <w:iCs w:val="0"/>
          <w:color w:val="404040"/>
          <w:szCs w:val="24"/>
          <w:shd w:val="clear" w:color="auto" w:fill="FFFFFF"/>
        </w:rPr>
        <w:t>.</w:t>
      </w:r>
    </w:p>
    <w:p w14:paraId="466BB8E5" w14:textId="4D2E8870" w:rsidR="0045074B" w:rsidRPr="00BE2173" w:rsidRDefault="00000000" w:rsidP="00BE2173">
      <w:pPr>
        <w:pStyle w:val="Heading4"/>
        <w:keepNext w:val="0"/>
        <w:keepLines w:val="0"/>
        <w:numPr>
          <w:ilvl w:val="0"/>
          <w:numId w:val="16"/>
        </w:numPr>
        <w:shd w:val="clear" w:color="auto" w:fill="FFFFFF"/>
        <w:spacing w:before="219" w:after="165" w:line="343" w:lineRule="atLeast"/>
        <w:jc w:val="both"/>
        <w:rPr>
          <w:rStyle w:val="Strong"/>
          <w:shd w:val="clear" w:color="auto" w:fill="FFFFFF"/>
        </w:rPr>
      </w:pPr>
      <w:proofErr w:type="spellStart"/>
      <w:r>
        <w:rPr>
          <w:rStyle w:val="Strong"/>
          <w:rFonts w:ascii="Times New Roman" w:eastAsia="Segoe UI" w:hAnsi="Times New Roman" w:cs="Times New Roman"/>
          <w:i w:val="0"/>
          <w:iCs w:val="0"/>
          <w:color w:val="404040"/>
          <w:szCs w:val="24"/>
          <w:shd w:val="clear" w:color="auto" w:fill="FFFFFF"/>
        </w:rPr>
        <w:t>Cuihu</w:t>
      </w:r>
      <w:proofErr w:type="spellEnd"/>
      <w:r>
        <w:rPr>
          <w:rStyle w:val="Strong"/>
          <w:rFonts w:ascii="Times New Roman" w:eastAsia="Segoe UI" w:hAnsi="Times New Roman" w:cs="Times New Roman"/>
          <w:i w:val="0"/>
          <w:iCs w:val="0"/>
          <w:color w:val="404040"/>
          <w:szCs w:val="24"/>
          <w:shd w:val="clear" w:color="auto" w:fill="FFFFFF"/>
        </w:rPr>
        <w:t xml:space="preserve"> Science &amp; Technology Backyard (STB)</w:t>
      </w:r>
    </w:p>
    <w:p w14:paraId="2DA0F815" w14:textId="77777777" w:rsidR="0045074B" w:rsidRDefault="00000000" w:rsidP="003223BA">
      <w:pPr>
        <w:pStyle w:val="NormalWeb"/>
        <w:spacing w:before="0" w:beforeAutospacing="0" w:after="48" w:afterAutospacing="0" w:line="343" w:lineRule="atLeast"/>
        <w:ind w:left="720"/>
        <w:jc w:val="both"/>
        <w:rPr>
          <w:rFonts w:eastAsia="Segoe UI"/>
          <w:color w:val="404040"/>
          <w:shd w:val="clear" w:color="auto" w:fill="FFFFFF"/>
        </w:rPr>
      </w:pPr>
      <w:r>
        <w:rPr>
          <w:rStyle w:val="Strong"/>
          <w:rFonts w:eastAsia="Segoe UI"/>
          <w:color w:val="404040"/>
          <w:shd w:val="clear" w:color="auto" w:fill="FFFFFF"/>
        </w:rPr>
        <w:t>Overview of STB</w:t>
      </w:r>
      <w:r>
        <w:rPr>
          <w:rFonts w:eastAsia="Segoe UI"/>
          <w:color w:val="404040"/>
          <w:shd w:val="clear" w:color="auto" w:fill="FFFFFF"/>
        </w:rPr>
        <w:t>: The Science and Technology Backyard (STB) is a </w:t>
      </w:r>
      <w:r>
        <w:rPr>
          <w:rStyle w:val="Strong"/>
          <w:rFonts w:eastAsia="Segoe UI"/>
          <w:b w:val="0"/>
          <w:bCs w:val="0"/>
          <w:color w:val="404040"/>
          <w:shd w:val="clear" w:color="auto" w:fill="FFFFFF"/>
        </w:rPr>
        <w:t>rural hub bridging knowledge and practice</w:t>
      </w:r>
      <w:r>
        <w:rPr>
          <w:rFonts w:eastAsia="Segoe UI"/>
          <w:color w:val="404040"/>
          <w:shd w:val="clear" w:color="auto" w:fill="FFFFFF"/>
        </w:rPr>
        <w:t> to drive technological innovation. Its framework supports </w:t>
      </w:r>
      <w:r>
        <w:rPr>
          <w:rStyle w:val="Strong"/>
          <w:rFonts w:eastAsia="Segoe UI"/>
          <w:b w:val="0"/>
          <w:bCs w:val="0"/>
          <w:color w:val="404040"/>
          <w:shd w:val="clear" w:color="auto" w:fill="FFFFFF"/>
        </w:rPr>
        <w:t>sustainable intensification</w:t>
      </w:r>
      <w:r>
        <w:rPr>
          <w:rFonts w:eastAsia="Segoe UI"/>
          <w:color w:val="404040"/>
          <w:shd w:val="clear" w:color="auto" w:fill="FFFFFF"/>
        </w:rPr>
        <w:t xml:space="preserve"> for smallholder farmers by: </w:t>
      </w:r>
    </w:p>
    <w:p w14:paraId="135A1273" w14:textId="77777777" w:rsidR="0045074B" w:rsidRDefault="00000000" w:rsidP="003223BA">
      <w:pPr>
        <w:pStyle w:val="NormalWeb"/>
        <w:numPr>
          <w:ilvl w:val="0"/>
          <w:numId w:val="11"/>
        </w:numPr>
        <w:spacing w:before="0" w:beforeAutospacing="0" w:after="48" w:afterAutospacing="0" w:line="343" w:lineRule="atLeast"/>
        <w:ind w:left="1440"/>
        <w:jc w:val="both"/>
      </w:pPr>
      <w:r>
        <w:rPr>
          <w:rFonts w:eastAsia="Segoe UI"/>
          <w:color w:val="404040"/>
          <w:shd w:val="clear" w:color="auto" w:fill="FFFFFF"/>
        </w:rPr>
        <w:t>Developing </w:t>
      </w:r>
      <w:r>
        <w:rPr>
          <w:rStyle w:val="Strong"/>
          <w:rFonts w:eastAsia="Segoe UI"/>
          <w:b w:val="0"/>
          <w:bCs w:val="0"/>
          <w:color w:val="404040"/>
          <w:shd w:val="clear" w:color="auto" w:fill="FFFFFF"/>
        </w:rPr>
        <w:t>demand-driven technologies</w:t>
      </w:r>
      <w:r>
        <w:rPr>
          <w:rFonts w:eastAsia="Segoe UI"/>
          <w:color w:val="404040"/>
          <w:shd w:val="clear" w:color="auto" w:fill="FFFFFF"/>
        </w:rPr>
        <w:t>,</w:t>
      </w:r>
    </w:p>
    <w:p w14:paraId="018290EF" w14:textId="77777777" w:rsidR="0045074B" w:rsidRDefault="00000000" w:rsidP="003223BA">
      <w:pPr>
        <w:pStyle w:val="NormalWeb"/>
        <w:numPr>
          <w:ilvl w:val="0"/>
          <w:numId w:val="11"/>
        </w:numPr>
        <w:spacing w:before="0" w:beforeAutospacing="0" w:after="0" w:afterAutospacing="0" w:line="343" w:lineRule="atLeast"/>
        <w:ind w:left="1440"/>
        <w:jc w:val="both"/>
      </w:pPr>
      <w:r>
        <w:rPr>
          <w:rFonts w:eastAsia="Segoe UI"/>
          <w:color w:val="404040"/>
          <w:shd w:val="clear" w:color="auto" w:fill="FFFFFF"/>
        </w:rPr>
        <w:t>Disseminating innovations through </w:t>
      </w:r>
      <w:r>
        <w:rPr>
          <w:rStyle w:val="Strong"/>
          <w:rFonts w:eastAsia="Segoe UI"/>
          <w:b w:val="0"/>
          <w:bCs w:val="0"/>
          <w:color w:val="404040"/>
          <w:shd w:val="clear" w:color="auto" w:fill="FFFFFF"/>
        </w:rPr>
        <w:t>mixed top-down and bottom-up approaches</w:t>
      </w:r>
      <w:r>
        <w:rPr>
          <w:rFonts w:eastAsia="Segoe UI"/>
          <w:color w:val="404040"/>
          <w:shd w:val="clear" w:color="auto" w:fill="FFFFFF"/>
        </w:rPr>
        <w:t>.</w:t>
      </w:r>
    </w:p>
    <w:p w14:paraId="4E2A400D" w14:textId="77777777" w:rsidR="003223BA" w:rsidRDefault="003223BA" w:rsidP="003223BA">
      <w:pPr>
        <w:pStyle w:val="NormalWeb"/>
        <w:spacing w:before="0" w:beforeAutospacing="0" w:after="0" w:afterAutospacing="0" w:line="343" w:lineRule="atLeast"/>
        <w:ind w:left="720"/>
        <w:jc w:val="both"/>
        <w:rPr>
          <w:rFonts w:eastAsia="Segoe UI"/>
          <w:color w:val="404040"/>
          <w:shd w:val="clear" w:color="auto" w:fill="FFFFFF"/>
        </w:rPr>
      </w:pPr>
    </w:p>
    <w:p w14:paraId="08FEDB6C" w14:textId="565D2390" w:rsidR="0045074B" w:rsidRDefault="00000000" w:rsidP="003223BA">
      <w:pPr>
        <w:pStyle w:val="NormalWeb"/>
        <w:spacing w:before="0" w:beforeAutospacing="0" w:after="0" w:afterAutospacing="0" w:line="343" w:lineRule="atLeast"/>
        <w:ind w:left="720"/>
        <w:jc w:val="both"/>
      </w:pPr>
      <w:r>
        <w:rPr>
          <w:rFonts w:eastAsia="Segoe UI"/>
          <w:color w:val="404040"/>
          <w:shd w:val="clear" w:color="auto" w:fill="FFFFFF"/>
        </w:rPr>
        <w:t>This model offers insights for </w:t>
      </w:r>
      <w:r>
        <w:rPr>
          <w:rStyle w:val="Strong"/>
          <w:rFonts w:eastAsia="Segoe UI"/>
          <w:b w:val="0"/>
          <w:bCs w:val="0"/>
          <w:color w:val="404040"/>
          <w:shd w:val="clear" w:color="auto" w:fill="FFFFFF"/>
        </w:rPr>
        <w:t>agricultural transformation in China and other developing nations</w:t>
      </w:r>
      <w:r>
        <w:rPr>
          <w:rFonts w:eastAsia="Segoe UI"/>
          <w:color w:val="404040"/>
          <w:shd w:val="clear" w:color="auto" w:fill="FFFFFF"/>
        </w:rPr>
        <w:t>.</w:t>
      </w:r>
    </w:p>
    <w:p w14:paraId="3434735C" w14:textId="41D364E0" w:rsidR="0045074B" w:rsidRDefault="00F32A25" w:rsidP="003223BA">
      <w:pPr>
        <w:pStyle w:val="NormalWeb"/>
        <w:spacing w:before="0" w:beforeAutospacing="0" w:after="0" w:afterAutospacing="0" w:line="343" w:lineRule="atLeast"/>
        <w:ind w:left="720"/>
        <w:jc w:val="both"/>
        <w:rPr>
          <w:rFonts w:eastAsia="Segoe UI"/>
          <w:color w:val="404040"/>
          <w:shd w:val="clear" w:color="auto" w:fill="FFFFFF"/>
        </w:rPr>
      </w:pPr>
      <w:r>
        <w:rPr>
          <w:noProof/>
        </w:rPr>
        <w:drawing>
          <wp:anchor distT="0" distB="0" distL="114300" distR="114300" simplePos="0" relativeHeight="251680768" behindDoc="1" locked="0" layoutInCell="1" allowOverlap="1" wp14:anchorId="281BFBA0" wp14:editId="6D29A8FE">
            <wp:simplePos x="0" y="0"/>
            <wp:positionH relativeFrom="column">
              <wp:posOffset>3322320</wp:posOffset>
            </wp:positionH>
            <wp:positionV relativeFrom="paragraph">
              <wp:posOffset>145415</wp:posOffset>
            </wp:positionV>
            <wp:extent cx="3503295" cy="1731010"/>
            <wp:effectExtent l="0" t="0" r="1905" b="2540"/>
            <wp:wrapTight wrapText="bothSides">
              <wp:wrapPolygon edited="0">
                <wp:start x="0" y="0"/>
                <wp:lineTo x="0" y="21394"/>
                <wp:lineTo x="21494" y="21394"/>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t="17252" b="8626"/>
                    <a:stretch>
                      <a:fillRect/>
                    </a:stretch>
                  </pic:blipFill>
                  <pic:spPr bwMode="auto">
                    <a:xfrm>
                      <a:off x="0" y="0"/>
                      <a:ext cx="3503295" cy="173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rFonts w:eastAsia="Segoe UI"/>
          <w:color w:val="404040"/>
          <w:shd w:val="clear" w:color="auto" w:fill="FFFFFF"/>
        </w:rPr>
        <w:t>Visit Highlights</w:t>
      </w:r>
      <w:r>
        <w:rPr>
          <w:rFonts w:eastAsia="Segoe UI"/>
          <w:b/>
          <w:bCs/>
          <w:color w:val="404040"/>
          <w:shd w:val="clear" w:color="auto" w:fill="FFFFFF"/>
        </w:rPr>
        <w:t>:</w:t>
      </w:r>
      <w:r>
        <w:rPr>
          <w:rFonts w:eastAsia="Segoe UI"/>
          <w:color w:val="404040"/>
          <w:shd w:val="clear" w:color="auto" w:fill="FFFFFF"/>
        </w:rPr>
        <w:t xml:space="preserve"> Participants were </w:t>
      </w:r>
      <w:r>
        <w:rPr>
          <w:rStyle w:val="Strong"/>
          <w:rFonts w:eastAsia="Segoe UI"/>
          <w:b w:val="0"/>
          <w:bCs w:val="0"/>
          <w:color w:val="404040"/>
          <w:shd w:val="clear" w:color="auto" w:fill="FFFFFF"/>
        </w:rPr>
        <w:t xml:space="preserve">warmly welcomed by Dr. Tian </w:t>
      </w:r>
      <w:proofErr w:type="spellStart"/>
      <w:r>
        <w:rPr>
          <w:rStyle w:val="Strong"/>
          <w:rFonts w:eastAsia="Segoe UI"/>
          <w:b w:val="0"/>
          <w:bCs w:val="0"/>
          <w:color w:val="404040"/>
          <w:shd w:val="clear" w:color="auto" w:fill="FFFFFF"/>
        </w:rPr>
        <w:t>Yongqiang</w:t>
      </w:r>
      <w:proofErr w:type="spellEnd"/>
      <w:r>
        <w:rPr>
          <w:rStyle w:val="Strong"/>
          <w:rFonts w:eastAsia="Segoe UI"/>
          <w:b w:val="0"/>
          <w:bCs w:val="0"/>
          <w:color w:val="404040"/>
          <w:shd w:val="clear" w:color="auto" w:fill="FFFFFF"/>
        </w:rPr>
        <w:t xml:space="preserve"> and his team</w:t>
      </w:r>
      <w:r>
        <w:rPr>
          <w:rFonts w:eastAsia="Segoe UI"/>
          <w:color w:val="404040"/>
          <w:shd w:val="clear" w:color="auto" w:fill="FFFFFF"/>
        </w:rPr>
        <w:t>, who guided them through </w:t>
      </w:r>
      <w:r>
        <w:rPr>
          <w:rStyle w:val="Strong"/>
          <w:rFonts w:eastAsia="Segoe UI"/>
          <w:b w:val="0"/>
          <w:bCs w:val="0"/>
          <w:color w:val="404040"/>
          <w:shd w:val="clear" w:color="auto" w:fill="FFFFFF"/>
        </w:rPr>
        <w:t>planting areas, a seedling production base, a vegetable-fruit washing facility, and a packaging center</w:t>
      </w:r>
      <w:r>
        <w:rPr>
          <w:rFonts w:eastAsia="Segoe UI"/>
          <w:color w:val="404040"/>
          <w:shd w:val="clear" w:color="auto" w:fill="FFFFFF"/>
        </w:rPr>
        <w:t>. Dr. Tian also introduced STB’s </w:t>
      </w:r>
      <w:r>
        <w:rPr>
          <w:rStyle w:val="Strong"/>
          <w:rFonts w:eastAsia="Segoe UI"/>
          <w:b w:val="0"/>
          <w:bCs w:val="0"/>
          <w:color w:val="404040"/>
          <w:shd w:val="clear" w:color="auto" w:fill="FFFFFF"/>
        </w:rPr>
        <w:t>international collaborations</w:t>
      </w:r>
      <w:r>
        <w:rPr>
          <w:rFonts w:eastAsia="Segoe UI"/>
          <w:color w:val="404040"/>
          <w:shd w:val="clear" w:color="auto" w:fill="FFFFFF"/>
        </w:rPr>
        <w:t> with </w:t>
      </w:r>
      <w:r>
        <w:rPr>
          <w:rStyle w:val="Strong"/>
          <w:rFonts w:eastAsia="Segoe UI"/>
          <w:b w:val="0"/>
          <w:bCs w:val="0"/>
          <w:color w:val="404040"/>
          <w:shd w:val="clear" w:color="auto" w:fill="FFFFFF"/>
        </w:rPr>
        <w:t>Laos, Australia, and European countries</w:t>
      </w:r>
      <w:r>
        <w:rPr>
          <w:rFonts w:eastAsia="Segoe UI"/>
          <w:color w:val="404040"/>
          <w:shd w:val="clear" w:color="auto" w:fill="FFFFFF"/>
        </w:rPr>
        <w:t>, noting its </w:t>
      </w:r>
      <w:r>
        <w:rPr>
          <w:rStyle w:val="Strong"/>
          <w:rFonts w:eastAsia="Segoe UI"/>
          <w:b w:val="0"/>
          <w:bCs w:val="0"/>
          <w:color w:val="404040"/>
          <w:shd w:val="clear" w:color="auto" w:fill="FFFFFF"/>
        </w:rPr>
        <w:t>top-ranked reputation in Chinese agriculture</w:t>
      </w:r>
      <w:r>
        <w:rPr>
          <w:rFonts w:eastAsia="Segoe UI"/>
          <w:color w:val="404040"/>
          <w:shd w:val="clear" w:color="auto" w:fill="FFFFFF"/>
        </w:rPr>
        <w:t>.</w:t>
      </w:r>
    </w:p>
    <w:p w14:paraId="5B3A6D72" w14:textId="5C6C4D03" w:rsidR="0045074B" w:rsidRDefault="0045074B">
      <w:pPr>
        <w:pStyle w:val="NormalWeb"/>
        <w:spacing w:before="0" w:beforeAutospacing="0" w:after="0" w:afterAutospacing="0" w:line="343" w:lineRule="atLeast"/>
        <w:jc w:val="center"/>
      </w:pPr>
    </w:p>
    <w:p w14:paraId="169F38CB" w14:textId="77777777" w:rsidR="0045074B" w:rsidRPr="00BE2173" w:rsidRDefault="00000000" w:rsidP="00BE2173">
      <w:pPr>
        <w:pStyle w:val="Heading4"/>
        <w:keepNext w:val="0"/>
        <w:keepLines w:val="0"/>
        <w:numPr>
          <w:ilvl w:val="0"/>
          <w:numId w:val="16"/>
        </w:numPr>
        <w:shd w:val="clear" w:color="auto" w:fill="FFFFFF"/>
        <w:spacing w:before="219" w:after="165" w:line="343" w:lineRule="atLeast"/>
        <w:jc w:val="both"/>
        <w:rPr>
          <w:rStyle w:val="Strong"/>
          <w:rFonts w:eastAsia="Segoe UI"/>
          <w:i w:val="0"/>
          <w:iCs w:val="0"/>
          <w:color w:val="404040"/>
          <w:shd w:val="clear" w:color="auto" w:fill="FFFFFF"/>
        </w:rPr>
      </w:pPr>
      <w:r>
        <w:rPr>
          <w:rStyle w:val="Strong"/>
          <w:rFonts w:ascii="Times New Roman" w:eastAsia="Segoe UI" w:hAnsi="Times New Roman" w:cs="Times New Roman"/>
          <w:i w:val="0"/>
          <w:iCs w:val="0"/>
          <w:color w:val="404040"/>
          <w:szCs w:val="24"/>
          <w:shd w:val="clear" w:color="auto" w:fill="FFFFFF"/>
        </w:rPr>
        <w:t>Beijing Changping Vocational School</w:t>
      </w:r>
    </w:p>
    <w:p w14:paraId="75527E69" w14:textId="77777777" w:rsidR="0045074B" w:rsidRDefault="00000000" w:rsidP="003223BA">
      <w:pPr>
        <w:pStyle w:val="NormalWeb"/>
        <w:spacing w:before="0" w:beforeAutospacing="0" w:after="0" w:afterAutospacing="0" w:line="343" w:lineRule="atLeast"/>
        <w:ind w:left="630"/>
        <w:jc w:val="both"/>
        <w:rPr>
          <w:rStyle w:val="Strong"/>
          <w:rFonts w:eastAsia="Segoe UI"/>
          <w:b w:val="0"/>
          <w:bCs w:val="0"/>
          <w:color w:val="404040"/>
          <w:shd w:val="clear" w:color="auto" w:fill="FFFFFF"/>
        </w:rPr>
      </w:pPr>
      <w:r>
        <w:rPr>
          <w:rStyle w:val="Strong"/>
          <w:rFonts w:eastAsia="Segoe UI"/>
          <w:color w:val="404040"/>
          <w:shd w:val="clear" w:color="auto" w:fill="FFFFFF"/>
        </w:rPr>
        <w:t>Overview</w:t>
      </w:r>
      <w:r>
        <w:rPr>
          <w:rFonts w:eastAsia="Segoe UI"/>
          <w:color w:val="404040"/>
          <w:shd w:val="clear" w:color="auto" w:fill="FFFFFF"/>
        </w:rPr>
        <w:t>: Founded in 1958, the school offers </w:t>
      </w:r>
      <w:r>
        <w:rPr>
          <w:rStyle w:val="Strong"/>
          <w:rFonts w:eastAsia="Segoe UI"/>
          <w:b w:val="0"/>
          <w:bCs w:val="0"/>
          <w:color w:val="404040"/>
          <w:shd w:val="clear" w:color="auto" w:fill="FFFFFF"/>
        </w:rPr>
        <w:t>41 majors</w:t>
      </w:r>
      <w:r>
        <w:rPr>
          <w:rFonts w:eastAsia="Segoe UI"/>
          <w:color w:val="404040"/>
          <w:shd w:val="clear" w:color="auto" w:fill="FFFFFF"/>
        </w:rPr>
        <w:t>, including </w:t>
      </w:r>
      <w:r>
        <w:rPr>
          <w:rStyle w:val="Strong"/>
          <w:rFonts w:eastAsia="Segoe UI"/>
          <w:b w:val="0"/>
          <w:bCs w:val="0"/>
          <w:color w:val="404040"/>
          <w:shd w:val="clear" w:color="auto" w:fill="FFFFFF"/>
        </w:rPr>
        <w:t>aviation services, automotive maintenance, landscaping, drone technology, and preschool education</w:t>
      </w:r>
      <w:r>
        <w:rPr>
          <w:rFonts w:eastAsia="Segoe UI"/>
          <w:color w:val="404040"/>
          <w:shd w:val="clear" w:color="auto" w:fill="FFFFFF"/>
        </w:rPr>
        <w:t xml:space="preserve">. </w:t>
      </w:r>
      <w:r>
        <w:rPr>
          <w:rFonts w:eastAsia="Segoe UI"/>
          <w:color w:val="404040"/>
          <w:shd w:val="clear" w:color="auto" w:fill="FFFFFF"/>
        </w:rPr>
        <w:lastRenderedPageBreak/>
        <w:t>With </w:t>
      </w:r>
      <w:r>
        <w:rPr>
          <w:rStyle w:val="Strong"/>
          <w:rFonts w:eastAsia="Segoe UI"/>
          <w:b w:val="0"/>
          <w:bCs w:val="0"/>
          <w:color w:val="404040"/>
          <w:shd w:val="clear" w:color="auto" w:fill="FFFFFF"/>
        </w:rPr>
        <w:t>334 faculty and 3,000+ students</w:t>
      </w:r>
      <w:r>
        <w:rPr>
          <w:rFonts w:eastAsia="Segoe UI"/>
          <w:color w:val="404040"/>
          <w:shd w:val="clear" w:color="auto" w:fill="FFFFFF"/>
        </w:rPr>
        <w:t>, it operates across </w:t>
      </w:r>
      <w:r>
        <w:rPr>
          <w:rStyle w:val="Strong"/>
          <w:rFonts w:eastAsia="Segoe UI"/>
          <w:b w:val="0"/>
          <w:bCs w:val="0"/>
          <w:color w:val="404040"/>
          <w:shd w:val="clear" w:color="auto" w:fill="FFFFFF"/>
        </w:rPr>
        <w:t>four campuses, one park, and a branch school</w:t>
      </w:r>
      <w:r>
        <w:rPr>
          <w:rFonts w:eastAsia="Segoe UI"/>
          <w:color w:val="404040"/>
          <w:shd w:val="clear" w:color="auto" w:fill="FFFFFF"/>
        </w:rPr>
        <w:t>. Recognized as a </w:t>
      </w:r>
      <w:r>
        <w:rPr>
          <w:rStyle w:val="Strong"/>
          <w:rFonts w:eastAsia="Segoe UI"/>
          <w:b w:val="0"/>
          <w:bCs w:val="0"/>
          <w:color w:val="404040"/>
          <w:shd w:val="clear" w:color="auto" w:fill="FFFFFF"/>
        </w:rPr>
        <w:t>national model for vocational education</w:t>
      </w:r>
      <w:r>
        <w:rPr>
          <w:rFonts w:eastAsia="Segoe UI"/>
          <w:color w:val="404040"/>
          <w:shd w:val="clear" w:color="auto" w:fill="FFFFFF"/>
        </w:rPr>
        <w:t>, it has won awards such as </w:t>
      </w:r>
      <w:r>
        <w:rPr>
          <w:rStyle w:val="Strong"/>
          <w:rFonts w:eastAsia="Segoe UI"/>
          <w:b w:val="0"/>
          <w:bCs w:val="0"/>
          <w:color w:val="404040"/>
          <w:shd w:val="clear" w:color="auto" w:fill="FFFFFF"/>
        </w:rPr>
        <w:t>"National Advanced Collective in Education."</w:t>
      </w:r>
    </w:p>
    <w:p w14:paraId="78C88AF6" w14:textId="77777777" w:rsidR="0045074B" w:rsidRDefault="0045074B" w:rsidP="003223BA">
      <w:pPr>
        <w:pStyle w:val="NormalWeb"/>
        <w:spacing w:before="0" w:beforeAutospacing="0" w:after="0" w:afterAutospacing="0" w:line="343" w:lineRule="atLeast"/>
        <w:ind w:left="630"/>
        <w:jc w:val="both"/>
        <w:rPr>
          <w:rStyle w:val="Strong"/>
          <w:rFonts w:eastAsia="Segoe UI"/>
          <w:b w:val="0"/>
          <w:bCs w:val="0"/>
          <w:color w:val="404040"/>
          <w:shd w:val="clear" w:color="auto" w:fill="FFFFFF"/>
        </w:rPr>
      </w:pPr>
    </w:p>
    <w:p w14:paraId="4087F348" w14:textId="263EAF13" w:rsidR="0045074B" w:rsidRDefault="00F32A25" w:rsidP="003223BA">
      <w:pPr>
        <w:pStyle w:val="NormalWeb"/>
        <w:spacing w:before="0" w:beforeAutospacing="0" w:after="0" w:afterAutospacing="0" w:line="343" w:lineRule="atLeast"/>
        <w:ind w:left="630"/>
        <w:jc w:val="both"/>
        <w:rPr>
          <w:rFonts w:eastAsia="Segoe UI"/>
          <w:color w:val="404040"/>
          <w:shd w:val="clear" w:color="auto" w:fill="FFFFFF"/>
        </w:rPr>
      </w:pPr>
      <w:r>
        <w:rPr>
          <w:noProof/>
        </w:rPr>
        <w:drawing>
          <wp:anchor distT="0" distB="0" distL="114300" distR="114300" simplePos="0" relativeHeight="251674624" behindDoc="1" locked="0" layoutInCell="1" allowOverlap="1" wp14:anchorId="55AAE343" wp14:editId="0CA9E7AE">
            <wp:simplePos x="0" y="0"/>
            <wp:positionH relativeFrom="column">
              <wp:posOffset>3562350</wp:posOffset>
            </wp:positionH>
            <wp:positionV relativeFrom="paragraph">
              <wp:posOffset>123190</wp:posOffset>
            </wp:positionV>
            <wp:extent cx="3292475" cy="1633855"/>
            <wp:effectExtent l="0" t="0" r="3175" b="4445"/>
            <wp:wrapTight wrapText="bothSides">
              <wp:wrapPolygon edited="0">
                <wp:start x="0" y="0"/>
                <wp:lineTo x="0" y="21407"/>
                <wp:lineTo x="21496" y="21407"/>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t="11193" b="14332"/>
                    <a:stretch>
                      <a:fillRect/>
                    </a:stretch>
                  </pic:blipFill>
                  <pic:spPr bwMode="auto">
                    <a:xfrm>
                      <a:off x="0" y="0"/>
                      <a:ext cx="3292475" cy="163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rFonts w:eastAsia="Segoe UI"/>
          <w:color w:val="404040"/>
          <w:shd w:val="clear" w:color="auto" w:fill="FFFFFF"/>
        </w:rPr>
        <w:t>Visit Highlights</w:t>
      </w:r>
      <w:r>
        <w:rPr>
          <w:rFonts w:eastAsia="Segoe UI"/>
          <w:color w:val="404040"/>
          <w:shd w:val="clear" w:color="auto" w:fill="FFFFFF"/>
        </w:rPr>
        <w:t>: Participants received a </w:t>
      </w:r>
      <w:r>
        <w:rPr>
          <w:rStyle w:val="Strong"/>
          <w:rFonts w:eastAsia="Segoe UI"/>
          <w:b w:val="0"/>
          <w:bCs w:val="0"/>
          <w:color w:val="404040"/>
          <w:shd w:val="clear" w:color="auto" w:fill="FFFFFF"/>
        </w:rPr>
        <w:t>warm welcome</w:t>
      </w:r>
      <w:r>
        <w:rPr>
          <w:rFonts w:eastAsia="Segoe UI"/>
          <w:color w:val="404040"/>
          <w:shd w:val="clear" w:color="auto" w:fill="FFFFFF"/>
        </w:rPr>
        <w:t> and learned about the school’s </w:t>
      </w:r>
      <w:r>
        <w:rPr>
          <w:rStyle w:val="Strong"/>
          <w:rFonts w:eastAsia="Segoe UI"/>
          <w:b w:val="0"/>
          <w:bCs w:val="0"/>
          <w:color w:val="404040"/>
          <w:shd w:val="clear" w:color="auto" w:fill="FFFFFF"/>
        </w:rPr>
        <w:t>achievements in agricultural education</w:t>
      </w:r>
      <w:r>
        <w:rPr>
          <w:rFonts w:eastAsia="Segoe UI"/>
          <w:color w:val="404040"/>
          <w:shd w:val="clear" w:color="auto" w:fill="FFFFFF"/>
        </w:rPr>
        <w:t>. After a </w:t>
      </w:r>
      <w:r>
        <w:rPr>
          <w:rStyle w:val="Strong"/>
          <w:rFonts w:eastAsia="Segoe UI"/>
          <w:b w:val="0"/>
          <w:bCs w:val="0"/>
          <w:color w:val="404040"/>
          <w:shd w:val="clear" w:color="auto" w:fill="FFFFFF"/>
        </w:rPr>
        <w:t>40-minute drive</w:t>
      </w:r>
      <w:r>
        <w:rPr>
          <w:rFonts w:eastAsia="Segoe UI"/>
          <w:color w:val="404040"/>
          <w:shd w:val="clear" w:color="auto" w:fill="FFFFFF"/>
        </w:rPr>
        <w:t>, they explored a </w:t>
      </w:r>
      <w:r>
        <w:rPr>
          <w:rStyle w:val="Strong"/>
          <w:rFonts w:eastAsia="Segoe UI"/>
          <w:b w:val="0"/>
          <w:bCs w:val="0"/>
          <w:color w:val="404040"/>
          <w:shd w:val="clear" w:color="auto" w:fill="FFFFFF"/>
        </w:rPr>
        <w:t>second campus</w:t>
      </w:r>
      <w:r>
        <w:rPr>
          <w:rFonts w:eastAsia="Segoe UI"/>
          <w:color w:val="404040"/>
          <w:shd w:val="clear" w:color="auto" w:fill="FFFFFF"/>
        </w:rPr>
        <w:t>, featuring </w:t>
      </w:r>
      <w:r>
        <w:rPr>
          <w:rStyle w:val="Strong"/>
          <w:rFonts w:eastAsia="Segoe UI"/>
          <w:b w:val="0"/>
          <w:bCs w:val="0"/>
          <w:color w:val="404040"/>
          <w:shd w:val="clear" w:color="auto" w:fill="FFFFFF"/>
        </w:rPr>
        <w:t>training bases for automotive, marketing, hospitality, food service, and skiing</w:t>
      </w:r>
      <w:r>
        <w:rPr>
          <w:rFonts w:eastAsia="Segoe UI"/>
          <w:color w:val="404040"/>
          <w:shd w:val="clear" w:color="auto" w:fill="FFFFFF"/>
        </w:rPr>
        <w:t>—all set in a </w:t>
      </w:r>
      <w:r>
        <w:rPr>
          <w:rStyle w:val="Strong"/>
          <w:rFonts w:eastAsia="Segoe UI"/>
          <w:b w:val="0"/>
          <w:bCs w:val="0"/>
          <w:color w:val="404040"/>
          <w:shd w:val="clear" w:color="auto" w:fill="FFFFFF"/>
        </w:rPr>
        <w:t>spacious, pristine environment</w:t>
      </w:r>
      <w:r>
        <w:rPr>
          <w:rFonts w:eastAsia="Segoe UI"/>
          <w:color w:val="404040"/>
          <w:shd w:val="clear" w:color="auto" w:fill="FFFFFF"/>
        </w:rPr>
        <w:t>.</w:t>
      </w:r>
    </w:p>
    <w:p w14:paraId="3A8CEAFF" w14:textId="332ED218" w:rsidR="0045074B" w:rsidRDefault="0045074B">
      <w:pPr>
        <w:pStyle w:val="NormalWeb"/>
        <w:spacing w:before="0" w:beforeAutospacing="0" w:after="0" w:afterAutospacing="0" w:line="343" w:lineRule="atLeast"/>
        <w:jc w:val="both"/>
      </w:pPr>
    </w:p>
    <w:p w14:paraId="73EA9A4B" w14:textId="77777777" w:rsidR="0045074B" w:rsidRPr="00BE2173" w:rsidRDefault="00000000" w:rsidP="00BE2173">
      <w:pPr>
        <w:pStyle w:val="Heading4"/>
        <w:keepNext w:val="0"/>
        <w:keepLines w:val="0"/>
        <w:numPr>
          <w:ilvl w:val="0"/>
          <w:numId w:val="16"/>
        </w:numPr>
        <w:shd w:val="clear" w:color="auto" w:fill="FFFFFF"/>
        <w:spacing w:before="219" w:after="165" w:line="343" w:lineRule="atLeast"/>
        <w:jc w:val="both"/>
        <w:rPr>
          <w:rStyle w:val="Strong"/>
          <w:rFonts w:eastAsia="Segoe UI"/>
          <w:i w:val="0"/>
          <w:iCs w:val="0"/>
          <w:color w:val="404040"/>
          <w:shd w:val="clear" w:color="auto" w:fill="FFFFFF"/>
        </w:rPr>
      </w:pPr>
      <w:r>
        <w:rPr>
          <w:rStyle w:val="Strong"/>
          <w:rFonts w:ascii="Times New Roman" w:eastAsia="Segoe UI" w:hAnsi="Times New Roman" w:cs="Times New Roman"/>
          <w:i w:val="0"/>
          <w:iCs w:val="0"/>
          <w:color w:val="404040"/>
          <w:szCs w:val="24"/>
          <w:shd w:val="clear" w:color="auto" w:fill="FFFFFF"/>
        </w:rPr>
        <w:t>Beijing HUATEC Information Technology Co., Ltd.</w:t>
      </w:r>
    </w:p>
    <w:p w14:paraId="0A2E311A" w14:textId="2E1587D0" w:rsidR="0045074B" w:rsidRDefault="00000000" w:rsidP="003223BA">
      <w:pPr>
        <w:pStyle w:val="NormalWeb"/>
        <w:spacing w:before="0" w:beforeAutospacing="0" w:after="0" w:afterAutospacing="0" w:line="343" w:lineRule="atLeast"/>
        <w:ind w:left="720"/>
        <w:jc w:val="both"/>
        <w:rPr>
          <w:rFonts w:eastAsia="Segoe UI"/>
          <w:color w:val="404040"/>
          <w:shd w:val="clear" w:color="auto" w:fill="FFFFFF"/>
        </w:rPr>
      </w:pPr>
      <w:r>
        <w:rPr>
          <w:rStyle w:val="Strong"/>
          <w:rFonts w:eastAsia="Segoe UI"/>
          <w:color w:val="404040"/>
          <w:shd w:val="clear" w:color="auto" w:fill="FFFFFF"/>
        </w:rPr>
        <w:t>Overview</w:t>
      </w:r>
      <w:r>
        <w:rPr>
          <w:rFonts w:eastAsia="Segoe UI"/>
          <w:color w:val="404040"/>
          <w:shd w:val="clear" w:color="auto" w:fill="FFFFFF"/>
        </w:rPr>
        <w:t>: Founded in 2004, HUATEC specializes in </w:t>
      </w:r>
      <w:r>
        <w:rPr>
          <w:rStyle w:val="Strong"/>
          <w:rFonts w:eastAsia="Segoe UI"/>
          <w:b w:val="0"/>
          <w:bCs w:val="0"/>
          <w:color w:val="404040"/>
          <w:shd w:val="clear" w:color="auto" w:fill="FFFFFF"/>
        </w:rPr>
        <w:t>educational technology</w:t>
      </w:r>
      <w:r>
        <w:rPr>
          <w:rFonts w:eastAsia="Segoe UI"/>
          <w:color w:val="404040"/>
          <w:shd w:val="clear" w:color="auto" w:fill="FFFFFF"/>
        </w:rPr>
        <w:t> and holds </w:t>
      </w:r>
      <w:r>
        <w:rPr>
          <w:rStyle w:val="Strong"/>
          <w:rFonts w:eastAsia="Segoe UI"/>
          <w:b w:val="0"/>
          <w:bCs w:val="0"/>
          <w:color w:val="404040"/>
          <w:shd w:val="clear" w:color="auto" w:fill="FFFFFF"/>
        </w:rPr>
        <w:t>29 patents</w:t>
      </w:r>
      <w:r>
        <w:rPr>
          <w:rFonts w:eastAsia="Segoe UI"/>
          <w:color w:val="404040"/>
          <w:shd w:val="clear" w:color="auto" w:fill="FFFFFF"/>
        </w:rPr>
        <w:t>. Headquartered in Beijing, it drives innovation in </w:t>
      </w:r>
      <w:r>
        <w:rPr>
          <w:rStyle w:val="Strong"/>
          <w:rFonts w:eastAsia="Segoe UI"/>
          <w:b w:val="0"/>
          <w:bCs w:val="0"/>
          <w:color w:val="404040"/>
          <w:shd w:val="clear" w:color="auto" w:fill="FFFFFF"/>
        </w:rPr>
        <w:t>digitization and ICT</w:t>
      </w:r>
      <w:r>
        <w:rPr>
          <w:rFonts w:eastAsia="Segoe UI"/>
          <w:color w:val="404040"/>
          <w:shd w:val="clear" w:color="auto" w:fill="FFFFFF"/>
        </w:rPr>
        <w:t>.</w:t>
      </w:r>
    </w:p>
    <w:p w14:paraId="09D7833B" w14:textId="77777777" w:rsidR="00F32A25" w:rsidRDefault="00F32A25" w:rsidP="003223BA">
      <w:pPr>
        <w:pStyle w:val="NormalWeb"/>
        <w:spacing w:before="0" w:beforeAutospacing="0" w:after="0" w:afterAutospacing="0" w:line="343" w:lineRule="atLeast"/>
        <w:ind w:left="720"/>
        <w:jc w:val="both"/>
      </w:pPr>
    </w:p>
    <w:p w14:paraId="291E5DAE" w14:textId="0B080D55" w:rsidR="0045074B" w:rsidRDefault="00F32A25" w:rsidP="003223BA">
      <w:pPr>
        <w:pStyle w:val="NormalWeb"/>
        <w:spacing w:before="0" w:beforeAutospacing="0" w:after="0" w:afterAutospacing="0" w:line="343" w:lineRule="atLeast"/>
        <w:ind w:left="720"/>
        <w:jc w:val="both"/>
      </w:pPr>
      <w:r>
        <w:rPr>
          <w:noProof/>
        </w:rPr>
        <w:drawing>
          <wp:anchor distT="0" distB="0" distL="114300" distR="114300" simplePos="0" relativeHeight="251675648" behindDoc="1" locked="0" layoutInCell="1" allowOverlap="1" wp14:anchorId="225EA11E" wp14:editId="3895E10B">
            <wp:simplePos x="0" y="0"/>
            <wp:positionH relativeFrom="column">
              <wp:posOffset>3276600</wp:posOffset>
            </wp:positionH>
            <wp:positionV relativeFrom="paragraph">
              <wp:posOffset>528955</wp:posOffset>
            </wp:positionV>
            <wp:extent cx="3575685" cy="2011680"/>
            <wp:effectExtent l="0" t="0" r="5715" b="7620"/>
            <wp:wrapTight wrapText="bothSides">
              <wp:wrapPolygon edited="0">
                <wp:start x="0" y="0"/>
                <wp:lineTo x="0" y="21477"/>
                <wp:lineTo x="21519" y="21477"/>
                <wp:lineTo x="21519" y="0"/>
                <wp:lineTo x="0" y="0"/>
              </wp:wrapPolygon>
            </wp:wrapTight>
            <wp:docPr id="5" name="Picture 5" descr="Image_2025062517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_202506251757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5685" cy="2011680"/>
                    </a:xfrm>
                    <a:prstGeom prst="rect">
                      <a:avLst/>
                    </a:prstGeom>
                  </pic:spPr>
                </pic:pic>
              </a:graphicData>
            </a:graphic>
            <wp14:sizeRelH relativeFrom="margin">
              <wp14:pctWidth>0</wp14:pctWidth>
            </wp14:sizeRelH>
            <wp14:sizeRelV relativeFrom="margin">
              <wp14:pctHeight>0</wp14:pctHeight>
            </wp14:sizeRelV>
          </wp:anchor>
        </w:drawing>
      </w:r>
      <w:r>
        <w:rPr>
          <w:rStyle w:val="Strong"/>
          <w:rFonts w:eastAsia="Segoe UI"/>
          <w:color w:val="404040"/>
          <w:shd w:val="clear" w:color="auto" w:fill="FFFFFF"/>
        </w:rPr>
        <w:t>Visit Highlights</w:t>
      </w:r>
      <w:r>
        <w:rPr>
          <w:rFonts w:eastAsia="Segoe UI"/>
          <w:color w:val="404040"/>
          <w:shd w:val="clear" w:color="auto" w:fill="FFFFFF"/>
        </w:rPr>
        <w:t>: Delegates from </w:t>
      </w:r>
      <w:proofErr w:type="spellStart"/>
      <w:r>
        <w:rPr>
          <w:rStyle w:val="Strong"/>
          <w:rFonts w:eastAsia="Segoe UI"/>
          <w:b w:val="0"/>
          <w:bCs w:val="0"/>
          <w:color w:val="404040"/>
          <w:shd w:val="clear" w:color="auto" w:fill="FFFFFF"/>
        </w:rPr>
        <w:t>MoEYS</w:t>
      </w:r>
      <w:proofErr w:type="spellEnd"/>
      <w:r>
        <w:rPr>
          <w:rStyle w:val="Strong"/>
          <w:rFonts w:eastAsia="Segoe UI"/>
          <w:b w:val="0"/>
          <w:bCs w:val="0"/>
          <w:color w:val="404040"/>
          <w:shd w:val="clear" w:color="auto" w:fill="FFFFFF"/>
        </w:rPr>
        <w:t xml:space="preserve">, SEAMEO TED, and the University of </w:t>
      </w:r>
      <w:proofErr w:type="spellStart"/>
      <w:r>
        <w:rPr>
          <w:rStyle w:val="Strong"/>
          <w:rFonts w:eastAsia="Segoe UI"/>
          <w:b w:val="0"/>
          <w:bCs w:val="0"/>
          <w:color w:val="404040"/>
          <w:shd w:val="clear" w:color="auto" w:fill="FFFFFF"/>
        </w:rPr>
        <w:t>Svay</w:t>
      </w:r>
      <w:proofErr w:type="spellEnd"/>
      <w:r>
        <w:rPr>
          <w:rStyle w:val="Strong"/>
          <w:rFonts w:eastAsia="Segoe UI"/>
          <w:b w:val="0"/>
          <w:bCs w:val="0"/>
          <w:color w:val="404040"/>
          <w:shd w:val="clear" w:color="auto" w:fill="FFFFFF"/>
        </w:rPr>
        <w:t xml:space="preserve"> </w:t>
      </w:r>
      <w:proofErr w:type="spellStart"/>
      <w:r>
        <w:rPr>
          <w:rStyle w:val="Strong"/>
          <w:rFonts w:eastAsia="Segoe UI"/>
          <w:b w:val="0"/>
          <w:bCs w:val="0"/>
          <w:color w:val="404040"/>
          <w:shd w:val="clear" w:color="auto" w:fill="FFFFFF"/>
        </w:rPr>
        <w:t>Rieng</w:t>
      </w:r>
      <w:proofErr w:type="spellEnd"/>
      <w:r>
        <w:rPr>
          <w:rFonts w:eastAsia="Segoe UI"/>
          <w:color w:val="404040"/>
          <w:shd w:val="clear" w:color="auto" w:fill="FFFFFF"/>
        </w:rPr>
        <w:t> were greeted by </w:t>
      </w:r>
      <w:r>
        <w:rPr>
          <w:rStyle w:val="Strong"/>
          <w:rFonts w:eastAsia="Segoe UI"/>
          <w:b w:val="0"/>
          <w:bCs w:val="0"/>
          <w:color w:val="404040"/>
          <w:shd w:val="clear" w:color="auto" w:fill="FFFFFF"/>
        </w:rPr>
        <w:t>Mr. Tony Sun (Director of International Education Planning)</w:t>
      </w:r>
      <w:r>
        <w:rPr>
          <w:rFonts w:eastAsia="Segoe UI"/>
          <w:color w:val="404040"/>
          <w:shd w:val="clear" w:color="auto" w:fill="FFFFFF"/>
        </w:rPr>
        <w:t> and colleagues. They toured the </w:t>
      </w:r>
      <w:r>
        <w:rPr>
          <w:rStyle w:val="Strong"/>
          <w:rFonts w:eastAsia="Segoe UI"/>
          <w:b w:val="0"/>
          <w:bCs w:val="0"/>
          <w:color w:val="404040"/>
          <w:shd w:val="clear" w:color="auto" w:fill="FFFFFF"/>
        </w:rPr>
        <w:t>Digitization Center</w:t>
      </w:r>
      <w:r>
        <w:rPr>
          <w:rFonts w:eastAsia="Segoe UI"/>
          <w:color w:val="404040"/>
          <w:shd w:val="clear" w:color="auto" w:fill="FFFFFF"/>
        </w:rPr>
        <w:t> and </w:t>
      </w:r>
      <w:r>
        <w:rPr>
          <w:rStyle w:val="Strong"/>
          <w:rFonts w:eastAsia="Segoe UI"/>
          <w:b w:val="0"/>
          <w:bCs w:val="0"/>
          <w:color w:val="404040"/>
          <w:shd w:val="clear" w:color="auto" w:fill="FFFFFF"/>
        </w:rPr>
        <w:t>Intelligent Manufacturing/ICT Experience Center</w:t>
      </w:r>
      <w:r>
        <w:rPr>
          <w:rFonts w:eastAsia="Segoe UI"/>
          <w:color w:val="404040"/>
          <w:shd w:val="clear" w:color="auto" w:fill="FFFFFF"/>
        </w:rPr>
        <w:t>, followed by a meeting. HUATEC highlighted its </w:t>
      </w:r>
      <w:proofErr w:type="spellStart"/>
      <w:r>
        <w:rPr>
          <w:rStyle w:val="Strong"/>
          <w:rFonts w:eastAsia="Segoe UI"/>
          <w:b w:val="0"/>
          <w:bCs w:val="0"/>
          <w:color w:val="404040"/>
          <w:shd w:val="clear" w:color="auto" w:fill="FFFFFF"/>
        </w:rPr>
        <w:t>Jingshi</w:t>
      </w:r>
      <w:proofErr w:type="spellEnd"/>
      <w:r>
        <w:rPr>
          <w:rStyle w:val="Strong"/>
          <w:rFonts w:eastAsia="Segoe UI"/>
          <w:b w:val="0"/>
          <w:bCs w:val="0"/>
          <w:color w:val="404040"/>
          <w:shd w:val="clear" w:color="auto" w:fill="FFFFFF"/>
        </w:rPr>
        <w:t xml:space="preserve"> Project</w:t>
      </w:r>
      <w:r>
        <w:rPr>
          <w:rFonts w:eastAsia="Segoe UI"/>
          <w:color w:val="404040"/>
          <w:shd w:val="clear" w:color="auto" w:fill="FFFFFF"/>
        </w:rPr>
        <w:t>, a collaboration with </w:t>
      </w:r>
      <w:r>
        <w:rPr>
          <w:rStyle w:val="Strong"/>
          <w:rFonts w:eastAsia="Segoe UI"/>
          <w:b w:val="0"/>
          <w:bCs w:val="0"/>
          <w:color w:val="404040"/>
          <w:shd w:val="clear" w:color="auto" w:fill="FFFFFF"/>
        </w:rPr>
        <w:t xml:space="preserve">NTTI, the University of </w:t>
      </w:r>
      <w:proofErr w:type="spellStart"/>
      <w:r>
        <w:rPr>
          <w:rStyle w:val="Strong"/>
          <w:rFonts w:eastAsia="Segoe UI"/>
          <w:b w:val="0"/>
          <w:bCs w:val="0"/>
          <w:color w:val="404040"/>
          <w:shd w:val="clear" w:color="auto" w:fill="FFFFFF"/>
        </w:rPr>
        <w:t>Svay</w:t>
      </w:r>
      <w:proofErr w:type="spellEnd"/>
      <w:r>
        <w:rPr>
          <w:rStyle w:val="Strong"/>
          <w:rFonts w:eastAsia="Segoe UI"/>
          <w:b w:val="0"/>
          <w:bCs w:val="0"/>
          <w:color w:val="404040"/>
          <w:shd w:val="clear" w:color="auto" w:fill="FFFFFF"/>
        </w:rPr>
        <w:t xml:space="preserve"> </w:t>
      </w:r>
      <w:proofErr w:type="spellStart"/>
      <w:r>
        <w:rPr>
          <w:rStyle w:val="Strong"/>
          <w:rFonts w:eastAsia="Segoe UI"/>
          <w:b w:val="0"/>
          <w:bCs w:val="0"/>
          <w:color w:val="404040"/>
          <w:shd w:val="clear" w:color="auto" w:fill="FFFFFF"/>
        </w:rPr>
        <w:t>Rieng</w:t>
      </w:r>
      <w:proofErr w:type="spellEnd"/>
      <w:r>
        <w:rPr>
          <w:rStyle w:val="Strong"/>
          <w:rFonts w:eastAsia="Segoe UI"/>
          <w:b w:val="0"/>
          <w:bCs w:val="0"/>
          <w:color w:val="404040"/>
          <w:shd w:val="clear" w:color="auto" w:fill="FFFFFF"/>
        </w:rPr>
        <w:t>, and ASEAN partners</w:t>
      </w:r>
      <w:r>
        <w:rPr>
          <w:rFonts w:eastAsia="Segoe UI"/>
          <w:color w:val="404040"/>
          <w:shd w:val="clear" w:color="auto" w:fill="FFFFFF"/>
        </w:rPr>
        <w:t>. Mr. Sun proposed </w:t>
      </w:r>
      <w:r>
        <w:rPr>
          <w:rStyle w:val="Strong"/>
          <w:rFonts w:eastAsia="Segoe UI"/>
          <w:b w:val="0"/>
          <w:bCs w:val="0"/>
          <w:color w:val="404040"/>
          <w:shd w:val="clear" w:color="auto" w:fill="FFFFFF"/>
        </w:rPr>
        <w:t>expanding cooperation</w:t>
      </w:r>
      <w:r>
        <w:rPr>
          <w:rFonts w:eastAsia="Segoe UI"/>
          <w:color w:val="404040"/>
          <w:shd w:val="clear" w:color="auto" w:fill="FFFFFF"/>
        </w:rPr>
        <w:t> via </w:t>
      </w:r>
      <w:proofErr w:type="spellStart"/>
      <w:r>
        <w:rPr>
          <w:rStyle w:val="Strong"/>
          <w:rFonts w:eastAsia="Segoe UI"/>
          <w:b w:val="0"/>
          <w:bCs w:val="0"/>
          <w:color w:val="404040"/>
          <w:shd w:val="clear" w:color="auto" w:fill="FFFFFF"/>
        </w:rPr>
        <w:t>MoEYS</w:t>
      </w:r>
      <w:proofErr w:type="spellEnd"/>
      <w:r>
        <w:rPr>
          <w:rStyle w:val="Strong"/>
          <w:rFonts w:eastAsia="Segoe UI"/>
          <w:b w:val="0"/>
          <w:bCs w:val="0"/>
          <w:color w:val="404040"/>
          <w:shd w:val="clear" w:color="auto" w:fill="FFFFFF"/>
        </w:rPr>
        <w:t xml:space="preserve"> and SEAMEO TED</w:t>
      </w:r>
      <w:r>
        <w:rPr>
          <w:rFonts w:eastAsia="Segoe UI"/>
          <w:color w:val="404040"/>
          <w:shd w:val="clear" w:color="auto" w:fill="FFFFFF"/>
        </w:rPr>
        <w:t>, urging swift </w:t>
      </w:r>
      <w:r>
        <w:rPr>
          <w:rStyle w:val="Strong"/>
          <w:rFonts w:eastAsia="Segoe UI"/>
          <w:b w:val="0"/>
          <w:bCs w:val="0"/>
          <w:color w:val="404040"/>
          <w:shd w:val="clear" w:color="auto" w:fill="FFFFFF"/>
        </w:rPr>
        <w:t>MoU/</w:t>
      </w:r>
      <w:proofErr w:type="spellStart"/>
      <w:r>
        <w:rPr>
          <w:rStyle w:val="Strong"/>
          <w:rFonts w:eastAsia="Segoe UI"/>
          <w:b w:val="0"/>
          <w:bCs w:val="0"/>
          <w:color w:val="404040"/>
          <w:shd w:val="clear" w:color="auto" w:fill="FFFFFF"/>
        </w:rPr>
        <w:t>MoA</w:t>
      </w:r>
      <w:proofErr w:type="spellEnd"/>
      <w:r>
        <w:rPr>
          <w:rStyle w:val="Strong"/>
          <w:rFonts w:eastAsia="Segoe UI"/>
          <w:b w:val="0"/>
          <w:bCs w:val="0"/>
          <w:color w:val="404040"/>
          <w:shd w:val="clear" w:color="auto" w:fill="FFFFFF"/>
        </w:rPr>
        <w:t xml:space="preserve"> signings and project implementation</w:t>
      </w:r>
      <w:r>
        <w:rPr>
          <w:rFonts w:eastAsia="Segoe UI"/>
          <w:color w:val="404040"/>
          <w:shd w:val="clear" w:color="auto" w:fill="FFFFFF"/>
        </w:rPr>
        <w:t>.</w:t>
      </w:r>
    </w:p>
    <w:p w14:paraId="0CFCAEA3" w14:textId="4EB66C49" w:rsidR="0045074B" w:rsidRDefault="0045074B">
      <w:pPr>
        <w:pStyle w:val="ListParagraph"/>
        <w:ind w:left="0"/>
        <w:jc w:val="both"/>
        <w:rPr>
          <w:rFonts w:ascii="Times New Roman" w:hAnsi="Times New Roman" w:cs="Times New Roman"/>
          <w:szCs w:val="24"/>
        </w:rPr>
      </w:pPr>
    </w:p>
    <w:p w14:paraId="473E3441" w14:textId="10D55ACB" w:rsidR="00BE2173" w:rsidRDefault="00BE2173">
      <w:pPr>
        <w:pStyle w:val="ListParagraph"/>
        <w:ind w:left="0"/>
        <w:jc w:val="both"/>
        <w:rPr>
          <w:rFonts w:ascii="Times New Roman" w:hAnsi="Times New Roman" w:cs="Times New Roman"/>
          <w:szCs w:val="24"/>
        </w:rPr>
      </w:pPr>
    </w:p>
    <w:p w14:paraId="139BE26A" w14:textId="63ABB51C" w:rsidR="00BE2173" w:rsidRPr="00BE2173" w:rsidRDefault="00F32A25" w:rsidP="00BE2173">
      <w:pPr>
        <w:pStyle w:val="Heading4"/>
        <w:keepNext w:val="0"/>
        <w:keepLines w:val="0"/>
        <w:numPr>
          <w:ilvl w:val="0"/>
          <w:numId w:val="16"/>
        </w:numPr>
        <w:shd w:val="clear" w:color="auto" w:fill="FFFFFF"/>
        <w:spacing w:before="219" w:after="165" w:line="343" w:lineRule="atLeast"/>
        <w:jc w:val="both"/>
        <w:rPr>
          <w:rStyle w:val="Strong"/>
          <w:shd w:val="clear" w:color="auto" w:fill="FFFFFF"/>
        </w:rPr>
      </w:pPr>
      <w:r>
        <w:rPr>
          <w:noProof/>
        </w:rPr>
        <w:lastRenderedPageBreak/>
        <w:drawing>
          <wp:anchor distT="0" distB="0" distL="114300" distR="114300" simplePos="0" relativeHeight="251681792" behindDoc="1" locked="0" layoutInCell="1" allowOverlap="1" wp14:anchorId="449A6429" wp14:editId="658973E8">
            <wp:simplePos x="0" y="0"/>
            <wp:positionH relativeFrom="column">
              <wp:posOffset>3169920</wp:posOffset>
            </wp:positionH>
            <wp:positionV relativeFrom="paragraph">
              <wp:posOffset>318770</wp:posOffset>
            </wp:positionV>
            <wp:extent cx="3679190" cy="2007235"/>
            <wp:effectExtent l="0" t="0" r="0" b="0"/>
            <wp:wrapTight wrapText="bothSides">
              <wp:wrapPolygon edited="0">
                <wp:start x="0" y="0"/>
                <wp:lineTo x="0" y="21320"/>
                <wp:lineTo x="21473" y="21320"/>
                <wp:lineTo x="21473" y="0"/>
                <wp:lineTo x="0" y="0"/>
              </wp:wrapPolygon>
            </wp:wrapTight>
            <wp:docPr id="2"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AI-generated content may be incorrect."/>
                    <pic:cNvPicPr>
                      <a:picLocks noChangeAspect="1"/>
                    </pic:cNvPicPr>
                  </pic:nvPicPr>
                  <pic:blipFill rotWithShape="1">
                    <a:blip r:embed="rId16" cstate="print">
                      <a:extLst>
                        <a:ext uri="{28A0092B-C50C-407E-A947-70E740481C1C}">
                          <a14:useLocalDpi xmlns:a14="http://schemas.microsoft.com/office/drawing/2010/main" val="0"/>
                        </a:ext>
                      </a:extLst>
                    </a:blip>
                    <a:srcRect t="18663" b="8609"/>
                    <a:stretch>
                      <a:fillRect/>
                    </a:stretch>
                  </pic:blipFill>
                  <pic:spPr bwMode="auto">
                    <a:xfrm>
                      <a:off x="0" y="0"/>
                      <a:ext cx="3679190" cy="200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173">
        <w:rPr>
          <w:rStyle w:val="Strong"/>
          <w:rFonts w:ascii="Times New Roman" w:eastAsia="Segoe UI" w:hAnsi="Times New Roman" w:cs="Times New Roman"/>
          <w:i w:val="0"/>
          <w:iCs w:val="0"/>
          <w:color w:val="404040"/>
          <w:szCs w:val="24"/>
          <w:shd w:val="clear" w:color="auto" w:fill="FFFFFF"/>
        </w:rPr>
        <w:t>The Great Wall (</w:t>
      </w:r>
      <w:proofErr w:type="spellStart"/>
      <w:r w:rsidR="00BE2173">
        <w:rPr>
          <w:rStyle w:val="Strong"/>
          <w:rFonts w:ascii="Times New Roman" w:eastAsia="Segoe UI" w:hAnsi="Times New Roman" w:cs="Times New Roman"/>
          <w:i w:val="0"/>
          <w:iCs w:val="0"/>
          <w:color w:val="404040"/>
          <w:szCs w:val="24"/>
          <w:shd w:val="clear" w:color="auto" w:fill="FFFFFF"/>
        </w:rPr>
        <w:t>Juyongguan</w:t>
      </w:r>
      <w:proofErr w:type="spellEnd"/>
      <w:r w:rsidR="00BE2173">
        <w:rPr>
          <w:rStyle w:val="Strong"/>
          <w:rFonts w:ascii="Times New Roman" w:eastAsia="Segoe UI" w:hAnsi="Times New Roman" w:cs="Times New Roman"/>
          <w:i w:val="0"/>
          <w:iCs w:val="0"/>
          <w:color w:val="404040"/>
          <w:szCs w:val="24"/>
          <w:shd w:val="clear" w:color="auto" w:fill="FFFFFF"/>
        </w:rPr>
        <w:t xml:space="preserve"> Pass)</w:t>
      </w:r>
    </w:p>
    <w:p w14:paraId="5E49BCB8" w14:textId="7B2D59D6" w:rsidR="00BE2173" w:rsidRDefault="00BE2173" w:rsidP="003223BA">
      <w:pPr>
        <w:pStyle w:val="NormalWeb"/>
        <w:spacing w:before="0" w:beforeAutospacing="0" w:after="0" w:afterAutospacing="0" w:line="343" w:lineRule="atLeast"/>
        <w:ind w:left="720"/>
        <w:jc w:val="both"/>
        <w:rPr>
          <w:rFonts w:eastAsia="Segoe UI"/>
          <w:color w:val="404040"/>
          <w:shd w:val="clear" w:color="auto" w:fill="FFFFFF"/>
        </w:rPr>
      </w:pPr>
      <w:r>
        <w:rPr>
          <w:rFonts w:eastAsia="Segoe UI"/>
          <w:color w:val="404040"/>
          <w:shd w:val="clear" w:color="auto" w:fill="FFFFFF"/>
        </w:rPr>
        <w:t>Participants embraced a </w:t>
      </w:r>
      <w:r>
        <w:rPr>
          <w:rStyle w:val="Strong"/>
          <w:rFonts w:eastAsia="Segoe UI"/>
          <w:color w:val="404040"/>
          <w:shd w:val="clear" w:color="auto" w:fill="FFFFFF"/>
        </w:rPr>
        <w:t>physical challenge</w:t>
      </w:r>
      <w:r>
        <w:rPr>
          <w:rFonts w:eastAsia="Segoe UI"/>
          <w:color w:val="404040"/>
          <w:shd w:val="clear" w:color="auto" w:fill="FFFFFF"/>
        </w:rPr>
        <w:t>, hiking to the </w:t>
      </w:r>
      <w:r>
        <w:rPr>
          <w:rStyle w:val="Strong"/>
          <w:rFonts w:eastAsia="Segoe UI"/>
          <w:color w:val="404040"/>
          <w:shd w:val="clear" w:color="auto" w:fill="FFFFFF"/>
        </w:rPr>
        <w:t xml:space="preserve">highest point of </w:t>
      </w:r>
      <w:proofErr w:type="spellStart"/>
      <w:r>
        <w:rPr>
          <w:rStyle w:val="Strong"/>
          <w:rFonts w:eastAsia="Segoe UI"/>
          <w:color w:val="404040"/>
          <w:shd w:val="clear" w:color="auto" w:fill="FFFFFF"/>
        </w:rPr>
        <w:t>Juyongguan</w:t>
      </w:r>
      <w:proofErr w:type="spellEnd"/>
      <w:r>
        <w:rPr>
          <w:rStyle w:val="Strong"/>
          <w:rFonts w:eastAsia="Segoe UI"/>
          <w:color w:val="404040"/>
          <w:shd w:val="clear" w:color="auto" w:fill="FFFFFF"/>
        </w:rPr>
        <w:t xml:space="preserve"> Pass</w:t>
      </w:r>
      <w:r>
        <w:rPr>
          <w:rFonts w:eastAsia="Segoe UI"/>
          <w:color w:val="404040"/>
          <w:shd w:val="clear" w:color="auto" w:fill="FFFFFF"/>
        </w:rPr>
        <w:t> for hours. At the summit, they enjoyed </w:t>
      </w:r>
      <w:r>
        <w:rPr>
          <w:rStyle w:val="Strong"/>
          <w:rFonts w:eastAsia="Segoe UI"/>
          <w:color w:val="404040"/>
          <w:shd w:val="clear" w:color="auto" w:fill="FFFFFF"/>
        </w:rPr>
        <w:t>breathtaking views, fresh air, and a well-deserved respite from stress</w:t>
      </w:r>
      <w:r>
        <w:rPr>
          <w:rFonts w:eastAsia="Segoe UI"/>
          <w:color w:val="404040"/>
          <w:shd w:val="clear" w:color="auto" w:fill="FFFFFF"/>
        </w:rPr>
        <w:t>.</w:t>
      </w:r>
    </w:p>
    <w:p w14:paraId="4DD9D23C" w14:textId="4EC12B6C" w:rsidR="00BE2173" w:rsidRDefault="00BE2173" w:rsidP="00BE2173">
      <w:pPr>
        <w:pStyle w:val="NormalWeb"/>
        <w:spacing w:before="0" w:beforeAutospacing="0" w:after="0" w:afterAutospacing="0" w:line="343" w:lineRule="atLeast"/>
        <w:jc w:val="center"/>
      </w:pPr>
    </w:p>
    <w:p w14:paraId="38631726" w14:textId="77777777" w:rsidR="00BE2173" w:rsidRDefault="00BE2173" w:rsidP="00BE2173">
      <w:pPr>
        <w:pStyle w:val="NormalWeb"/>
        <w:spacing w:before="0" w:beforeAutospacing="0" w:after="0" w:afterAutospacing="0" w:line="343" w:lineRule="atLeast"/>
        <w:jc w:val="both"/>
      </w:pPr>
    </w:p>
    <w:p w14:paraId="4C7BCDFE" w14:textId="77777777" w:rsidR="00BE2173" w:rsidRDefault="00BE2173" w:rsidP="00BE2173">
      <w:pPr>
        <w:pStyle w:val="NormalWeb"/>
        <w:spacing w:before="0" w:beforeAutospacing="0" w:after="0" w:afterAutospacing="0" w:line="343" w:lineRule="atLeast"/>
        <w:jc w:val="both"/>
      </w:pPr>
    </w:p>
    <w:p w14:paraId="751A6142" w14:textId="77777777" w:rsidR="00BE2173" w:rsidRDefault="00BE2173">
      <w:pPr>
        <w:pStyle w:val="ListParagraph"/>
        <w:ind w:left="0"/>
        <w:jc w:val="both"/>
        <w:rPr>
          <w:rFonts w:ascii="Times New Roman" w:hAnsi="Times New Roman" w:cs="Times New Roman"/>
          <w:szCs w:val="24"/>
        </w:rPr>
      </w:pPr>
    </w:p>
    <w:p w14:paraId="121D8E1B" w14:textId="77777777" w:rsidR="002C7F1E" w:rsidRDefault="002C7F1E" w:rsidP="002C7F1E">
      <w:pPr>
        <w:pStyle w:val="ListParagraph"/>
        <w:numPr>
          <w:ilvl w:val="0"/>
          <w:numId w:val="12"/>
        </w:numPr>
        <w:ind w:left="360"/>
        <w:jc w:val="both"/>
        <w:rPr>
          <w:rFonts w:ascii="Times New Roman" w:hAnsi="Times New Roman" w:cs="Times New Roman"/>
          <w:b/>
          <w:bCs/>
          <w:szCs w:val="24"/>
        </w:rPr>
      </w:pPr>
      <w:r w:rsidRPr="002C7F1E">
        <w:rPr>
          <w:rFonts w:ascii="Times New Roman" w:hAnsi="Times New Roman" w:cs="Times New Roman"/>
          <w:b/>
          <w:bCs/>
          <w:szCs w:val="24"/>
        </w:rPr>
        <w:t>Key Lessons Learned</w:t>
      </w:r>
    </w:p>
    <w:p w14:paraId="1090A07A" w14:textId="77777777" w:rsidR="002C7F1E" w:rsidRPr="002C7F1E" w:rsidRDefault="002C7F1E" w:rsidP="002C7F1E">
      <w:pPr>
        <w:pStyle w:val="ListParagraph"/>
        <w:ind w:left="360"/>
        <w:jc w:val="both"/>
        <w:rPr>
          <w:rFonts w:ascii="Times New Roman" w:hAnsi="Times New Roman" w:cs="Times New Roman"/>
          <w:b/>
          <w:bCs/>
          <w:szCs w:val="24"/>
        </w:rPr>
      </w:pPr>
    </w:p>
    <w:p w14:paraId="12E16998" w14:textId="77777777" w:rsidR="002C7F1E" w:rsidRPr="002C7F1E" w:rsidRDefault="002C7F1E" w:rsidP="002C7F1E">
      <w:pPr>
        <w:pStyle w:val="ListParagraph"/>
        <w:numPr>
          <w:ilvl w:val="0"/>
          <w:numId w:val="17"/>
        </w:numPr>
        <w:jc w:val="both"/>
        <w:rPr>
          <w:rFonts w:ascii="Times New Roman" w:hAnsi="Times New Roman" w:cs="Times New Roman"/>
          <w:szCs w:val="24"/>
        </w:rPr>
      </w:pPr>
      <w:r w:rsidRPr="002C7F1E">
        <w:rPr>
          <w:rFonts w:ascii="Times New Roman" w:hAnsi="Times New Roman" w:cs="Times New Roman"/>
          <w:b/>
          <w:bCs/>
          <w:szCs w:val="24"/>
        </w:rPr>
        <w:t>Vocational Education as a Pillar of Rural Revitalization</w:t>
      </w:r>
    </w:p>
    <w:p w14:paraId="6C9CA024" w14:textId="77777777" w:rsidR="002C7F1E" w:rsidRPr="002C7F1E" w:rsidRDefault="002C7F1E" w:rsidP="002C7F1E">
      <w:pPr>
        <w:pStyle w:val="ListParagraph"/>
        <w:numPr>
          <w:ilvl w:val="1"/>
          <w:numId w:val="17"/>
        </w:numPr>
        <w:jc w:val="both"/>
        <w:rPr>
          <w:rFonts w:ascii="Times New Roman" w:hAnsi="Times New Roman" w:cs="Times New Roman"/>
          <w:szCs w:val="24"/>
        </w:rPr>
      </w:pPr>
      <w:r w:rsidRPr="002C7F1E">
        <w:rPr>
          <w:rFonts w:ascii="Times New Roman" w:hAnsi="Times New Roman" w:cs="Times New Roman"/>
          <w:szCs w:val="24"/>
        </w:rPr>
        <w:t>Across China and Southeast Asia, Technical and Vocational Education and Training (TVET) is being leveraged not only for employment but also as a strategic tool for rural transformation, environmental sustainability, and digital inclusion.</w:t>
      </w:r>
    </w:p>
    <w:p w14:paraId="4FB8808F" w14:textId="77777777" w:rsidR="002C7F1E" w:rsidRPr="002C7F1E" w:rsidRDefault="002C7F1E" w:rsidP="002C7F1E">
      <w:pPr>
        <w:pStyle w:val="ListParagraph"/>
        <w:numPr>
          <w:ilvl w:val="0"/>
          <w:numId w:val="17"/>
        </w:numPr>
        <w:jc w:val="both"/>
        <w:rPr>
          <w:rFonts w:ascii="Times New Roman" w:hAnsi="Times New Roman" w:cs="Times New Roman"/>
          <w:szCs w:val="24"/>
        </w:rPr>
      </w:pPr>
      <w:r w:rsidRPr="002C7F1E">
        <w:rPr>
          <w:rFonts w:ascii="Times New Roman" w:hAnsi="Times New Roman" w:cs="Times New Roman"/>
          <w:b/>
          <w:bCs/>
          <w:szCs w:val="24"/>
        </w:rPr>
        <w:t>Policy Integration is Essential</w:t>
      </w:r>
    </w:p>
    <w:p w14:paraId="7428D4F9" w14:textId="77777777" w:rsidR="002C7F1E" w:rsidRPr="002C7F1E" w:rsidRDefault="002C7F1E" w:rsidP="002C7F1E">
      <w:pPr>
        <w:pStyle w:val="ListParagraph"/>
        <w:numPr>
          <w:ilvl w:val="1"/>
          <w:numId w:val="17"/>
        </w:numPr>
        <w:jc w:val="both"/>
        <w:rPr>
          <w:rFonts w:ascii="Times New Roman" w:hAnsi="Times New Roman" w:cs="Times New Roman"/>
          <w:szCs w:val="24"/>
        </w:rPr>
      </w:pPr>
      <w:r w:rsidRPr="002C7F1E">
        <w:rPr>
          <w:rFonts w:ascii="Times New Roman" w:hAnsi="Times New Roman" w:cs="Times New Roman"/>
          <w:szCs w:val="24"/>
        </w:rPr>
        <w:t>Strong government leadership and cross-sector policy integration are necessary for scaling up lifelong learning and rural education. China's national strategies and ASEAN countries’ reforms reflect an increasing alignment with SDG 4 and the 2030 Agenda.</w:t>
      </w:r>
    </w:p>
    <w:p w14:paraId="5D7F4B4B" w14:textId="77777777" w:rsidR="002C7F1E" w:rsidRPr="002C7F1E" w:rsidRDefault="002C7F1E" w:rsidP="002C7F1E">
      <w:pPr>
        <w:pStyle w:val="ListParagraph"/>
        <w:numPr>
          <w:ilvl w:val="0"/>
          <w:numId w:val="17"/>
        </w:numPr>
        <w:jc w:val="both"/>
        <w:rPr>
          <w:rFonts w:ascii="Times New Roman" w:hAnsi="Times New Roman" w:cs="Times New Roman"/>
          <w:szCs w:val="24"/>
        </w:rPr>
      </w:pPr>
      <w:r w:rsidRPr="002C7F1E">
        <w:rPr>
          <w:rFonts w:ascii="Times New Roman" w:hAnsi="Times New Roman" w:cs="Times New Roman"/>
          <w:b/>
          <w:bCs/>
          <w:szCs w:val="24"/>
        </w:rPr>
        <w:t>Community-Based and Context-Driven Learning Models Work</w:t>
      </w:r>
    </w:p>
    <w:p w14:paraId="77785961" w14:textId="77777777" w:rsidR="002C7F1E" w:rsidRPr="002C7F1E" w:rsidRDefault="002C7F1E" w:rsidP="002C7F1E">
      <w:pPr>
        <w:pStyle w:val="ListParagraph"/>
        <w:numPr>
          <w:ilvl w:val="1"/>
          <w:numId w:val="17"/>
        </w:numPr>
        <w:jc w:val="both"/>
        <w:rPr>
          <w:rFonts w:ascii="Times New Roman" w:hAnsi="Times New Roman" w:cs="Times New Roman"/>
          <w:szCs w:val="24"/>
        </w:rPr>
      </w:pPr>
      <w:r w:rsidRPr="002C7F1E">
        <w:rPr>
          <w:rFonts w:ascii="Times New Roman" w:hAnsi="Times New Roman" w:cs="Times New Roman"/>
          <w:szCs w:val="24"/>
        </w:rPr>
        <w:t>Models like China's “village/farming classrooms” and localized training in Cambodia, Lao PDR, and Vietnam demonstrate that education tailored to local economies and needs leads to stronger engagement and outcomes.</w:t>
      </w:r>
    </w:p>
    <w:p w14:paraId="5F09D5F9" w14:textId="77777777" w:rsidR="002C7F1E" w:rsidRPr="002C7F1E" w:rsidRDefault="002C7F1E" w:rsidP="002C7F1E">
      <w:pPr>
        <w:pStyle w:val="ListParagraph"/>
        <w:numPr>
          <w:ilvl w:val="0"/>
          <w:numId w:val="17"/>
        </w:numPr>
        <w:jc w:val="both"/>
        <w:rPr>
          <w:rFonts w:ascii="Times New Roman" w:hAnsi="Times New Roman" w:cs="Times New Roman"/>
          <w:szCs w:val="24"/>
        </w:rPr>
      </w:pPr>
      <w:r w:rsidRPr="002C7F1E">
        <w:rPr>
          <w:rFonts w:ascii="Times New Roman" w:hAnsi="Times New Roman" w:cs="Times New Roman"/>
          <w:b/>
          <w:bCs/>
          <w:szCs w:val="24"/>
        </w:rPr>
        <w:t>Digital and Green Skills Are the Future</w:t>
      </w:r>
    </w:p>
    <w:p w14:paraId="1762957D" w14:textId="77777777" w:rsidR="002C7F1E" w:rsidRPr="002C7F1E" w:rsidRDefault="002C7F1E" w:rsidP="002C7F1E">
      <w:pPr>
        <w:pStyle w:val="ListParagraph"/>
        <w:numPr>
          <w:ilvl w:val="1"/>
          <w:numId w:val="17"/>
        </w:numPr>
        <w:jc w:val="both"/>
        <w:rPr>
          <w:rFonts w:ascii="Times New Roman" w:hAnsi="Times New Roman" w:cs="Times New Roman"/>
          <w:szCs w:val="24"/>
        </w:rPr>
      </w:pPr>
      <w:r w:rsidRPr="002C7F1E">
        <w:rPr>
          <w:rFonts w:ascii="Times New Roman" w:hAnsi="Times New Roman" w:cs="Times New Roman"/>
          <w:szCs w:val="24"/>
        </w:rPr>
        <w:t>The growing emphasis on green skills, digital literacy, and Industry 4.0 (e.g., AI, IoT, sustainability) highlights the urgency of curriculum modernization and workforce transformation in rural and underserved communities.</w:t>
      </w:r>
    </w:p>
    <w:p w14:paraId="3C0DA2B2" w14:textId="77777777" w:rsidR="002C7F1E" w:rsidRPr="002C7F1E" w:rsidRDefault="002C7F1E" w:rsidP="002C7F1E">
      <w:pPr>
        <w:pStyle w:val="ListParagraph"/>
        <w:numPr>
          <w:ilvl w:val="0"/>
          <w:numId w:val="17"/>
        </w:numPr>
        <w:jc w:val="both"/>
        <w:rPr>
          <w:rFonts w:ascii="Times New Roman" w:hAnsi="Times New Roman" w:cs="Times New Roman"/>
          <w:szCs w:val="24"/>
        </w:rPr>
      </w:pPr>
      <w:r w:rsidRPr="002C7F1E">
        <w:rPr>
          <w:rFonts w:ascii="Times New Roman" w:hAnsi="Times New Roman" w:cs="Times New Roman"/>
          <w:b/>
          <w:bCs/>
          <w:szCs w:val="24"/>
        </w:rPr>
        <w:t>Public-Private Partnerships Multiply Impact</w:t>
      </w:r>
    </w:p>
    <w:p w14:paraId="722748AC" w14:textId="77777777" w:rsidR="002C7F1E" w:rsidRPr="002C7F1E" w:rsidRDefault="002C7F1E" w:rsidP="002C7F1E">
      <w:pPr>
        <w:pStyle w:val="ListParagraph"/>
        <w:numPr>
          <w:ilvl w:val="1"/>
          <w:numId w:val="17"/>
        </w:numPr>
        <w:jc w:val="both"/>
        <w:rPr>
          <w:rFonts w:ascii="Times New Roman" w:hAnsi="Times New Roman" w:cs="Times New Roman"/>
          <w:szCs w:val="24"/>
        </w:rPr>
      </w:pPr>
      <w:r w:rsidRPr="002C7F1E">
        <w:rPr>
          <w:rFonts w:ascii="Times New Roman" w:hAnsi="Times New Roman" w:cs="Times New Roman"/>
          <w:szCs w:val="24"/>
        </w:rPr>
        <w:t>Case studies from China (e.g., Ningbo’s integrated network, HUATEC’s digital labs) and Malaysia (TVET-Industry Council) stress the role of private sector collaboration in skills development, innovation, and technology access.</w:t>
      </w:r>
    </w:p>
    <w:p w14:paraId="681BEFA9" w14:textId="77777777" w:rsidR="002C7F1E" w:rsidRPr="002C7F1E" w:rsidRDefault="002C7F1E" w:rsidP="002C7F1E">
      <w:pPr>
        <w:pStyle w:val="ListParagraph"/>
        <w:numPr>
          <w:ilvl w:val="0"/>
          <w:numId w:val="17"/>
        </w:numPr>
        <w:jc w:val="both"/>
        <w:rPr>
          <w:rFonts w:ascii="Times New Roman" w:hAnsi="Times New Roman" w:cs="Times New Roman"/>
          <w:szCs w:val="24"/>
        </w:rPr>
      </w:pPr>
      <w:r w:rsidRPr="002C7F1E">
        <w:rPr>
          <w:rFonts w:ascii="Times New Roman" w:hAnsi="Times New Roman" w:cs="Times New Roman"/>
          <w:b/>
          <w:bCs/>
          <w:szCs w:val="24"/>
        </w:rPr>
        <w:t>Inclusivity and Equity Must Remain Central</w:t>
      </w:r>
    </w:p>
    <w:p w14:paraId="12C605EE" w14:textId="77777777" w:rsidR="002C7F1E" w:rsidRDefault="002C7F1E" w:rsidP="002C7F1E">
      <w:pPr>
        <w:pStyle w:val="ListParagraph"/>
        <w:numPr>
          <w:ilvl w:val="1"/>
          <w:numId w:val="17"/>
        </w:numPr>
        <w:jc w:val="both"/>
        <w:rPr>
          <w:rFonts w:ascii="Times New Roman" w:hAnsi="Times New Roman" w:cs="Times New Roman"/>
          <w:szCs w:val="24"/>
        </w:rPr>
      </w:pPr>
      <w:r w:rsidRPr="002C7F1E">
        <w:rPr>
          <w:rFonts w:ascii="Times New Roman" w:hAnsi="Times New Roman" w:cs="Times New Roman"/>
          <w:szCs w:val="24"/>
        </w:rPr>
        <w:t>Emphasis on inclusive education for marginalized, gender-sensitive policies (e.g., Myanmar), and flexible learning pathways (e.g., Philippines’ ALS) underlines the need for systems that leave no one behind.</w:t>
      </w:r>
    </w:p>
    <w:p w14:paraId="39586720" w14:textId="77777777" w:rsidR="002C7F1E" w:rsidRPr="002C7F1E" w:rsidRDefault="002C7F1E" w:rsidP="002C7F1E">
      <w:pPr>
        <w:pStyle w:val="ListParagraph"/>
        <w:ind w:left="1440"/>
        <w:jc w:val="both"/>
        <w:rPr>
          <w:rFonts w:ascii="Times New Roman" w:hAnsi="Times New Roman" w:cs="Times New Roman"/>
          <w:szCs w:val="24"/>
        </w:rPr>
      </w:pPr>
    </w:p>
    <w:p w14:paraId="51DE45A4" w14:textId="77777777" w:rsidR="002C7F1E" w:rsidRPr="002C7F1E" w:rsidRDefault="002C7F1E" w:rsidP="002C7F1E">
      <w:pPr>
        <w:pStyle w:val="ListParagraph"/>
        <w:numPr>
          <w:ilvl w:val="0"/>
          <w:numId w:val="17"/>
        </w:numPr>
        <w:jc w:val="both"/>
        <w:rPr>
          <w:rFonts w:ascii="Times New Roman" w:hAnsi="Times New Roman" w:cs="Times New Roman"/>
          <w:szCs w:val="24"/>
        </w:rPr>
      </w:pPr>
      <w:r w:rsidRPr="002C7F1E">
        <w:rPr>
          <w:rFonts w:ascii="Times New Roman" w:hAnsi="Times New Roman" w:cs="Times New Roman"/>
          <w:b/>
          <w:bCs/>
          <w:szCs w:val="24"/>
        </w:rPr>
        <w:t>Lifelong Learning Requires Systemic Structures</w:t>
      </w:r>
    </w:p>
    <w:p w14:paraId="572277AC" w14:textId="77777777" w:rsidR="002C7F1E" w:rsidRDefault="002C7F1E" w:rsidP="002C7F1E">
      <w:pPr>
        <w:pStyle w:val="ListParagraph"/>
        <w:numPr>
          <w:ilvl w:val="1"/>
          <w:numId w:val="17"/>
        </w:numPr>
        <w:jc w:val="both"/>
        <w:rPr>
          <w:rFonts w:ascii="Times New Roman" w:hAnsi="Times New Roman" w:cs="Times New Roman"/>
          <w:szCs w:val="24"/>
        </w:rPr>
      </w:pPr>
      <w:r w:rsidRPr="002C7F1E">
        <w:rPr>
          <w:rFonts w:ascii="Times New Roman" w:hAnsi="Times New Roman" w:cs="Times New Roman"/>
          <w:szCs w:val="24"/>
        </w:rPr>
        <w:lastRenderedPageBreak/>
        <w:t>The importance of institutionalizing lifelong learning through recognition of prior learning (RPL), flexible pathways, and decentralized community learning centers is recognized across all participating countries.</w:t>
      </w:r>
    </w:p>
    <w:p w14:paraId="230D4E9C" w14:textId="77777777" w:rsidR="002C7F1E" w:rsidRDefault="002C7F1E" w:rsidP="002C7F1E">
      <w:pPr>
        <w:pStyle w:val="ListParagraph"/>
        <w:ind w:left="0"/>
        <w:jc w:val="both"/>
        <w:rPr>
          <w:rFonts w:ascii="Times New Roman" w:hAnsi="Times New Roman" w:cs="Times New Roman"/>
          <w:szCs w:val="24"/>
        </w:rPr>
      </w:pPr>
    </w:p>
    <w:p w14:paraId="5DE2DF90" w14:textId="7C820053" w:rsidR="002C7F1E" w:rsidRPr="002C7F1E" w:rsidRDefault="002C7F1E" w:rsidP="00F4335D">
      <w:pPr>
        <w:pStyle w:val="ListParagraph"/>
        <w:numPr>
          <w:ilvl w:val="0"/>
          <w:numId w:val="12"/>
        </w:numPr>
        <w:ind w:left="360"/>
        <w:jc w:val="both"/>
        <w:rPr>
          <w:rFonts w:ascii="Times New Roman" w:hAnsi="Times New Roman" w:cs="Times New Roman"/>
          <w:szCs w:val="24"/>
        </w:rPr>
      </w:pPr>
      <w:r w:rsidRPr="002C7F1E">
        <w:rPr>
          <w:rFonts w:ascii="Times New Roman" w:hAnsi="Times New Roman" w:cs="Times New Roman"/>
          <w:b/>
          <w:bCs/>
          <w:szCs w:val="24"/>
        </w:rPr>
        <w:t>Conclusion</w:t>
      </w:r>
    </w:p>
    <w:p w14:paraId="7789AD2F" w14:textId="77777777" w:rsidR="002C7F1E" w:rsidRDefault="002C7F1E" w:rsidP="002C7F1E">
      <w:pPr>
        <w:pStyle w:val="NormalWeb"/>
        <w:ind w:left="360"/>
        <w:jc w:val="both"/>
      </w:pPr>
      <w:r>
        <w:t xml:space="preserve">The </w:t>
      </w:r>
      <w:r>
        <w:rPr>
          <w:rStyle w:val="Strong"/>
        </w:rPr>
        <w:t>China–Southeast Asia Capacity Building Workshop on Transforming Learning for Sustainable Rural Development</w:t>
      </w:r>
      <w:r>
        <w:t xml:space="preserve"> was a comprehensive and dynamic platform for knowledge exchange, policy dialogue, and partnership building among educational leaders and practitioners from across ASEAN and China. Held in Beijing from 16 to 19 June 2025, the event effectively highlighted shared challenges and diverse solutions in using transformative education for rural development.</w:t>
      </w:r>
    </w:p>
    <w:p w14:paraId="77C5CC72" w14:textId="77777777" w:rsidR="002C7F1E" w:rsidRDefault="002C7F1E" w:rsidP="002C7F1E">
      <w:pPr>
        <w:pStyle w:val="NormalWeb"/>
        <w:ind w:left="360"/>
        <w:jc w:val="both"/>
      </w:pPr>
      <w:r>
        <w:t>Participants engaged in a series of thematic discussions, country presentations, and institutional visits, showcasing innovative models and strategies for TVET and lifelong learning. From China's dual learning system and digital empowerment campaigns to ASEAN nations’ policy reforms and community-centered learning hubs, the workshop revealed a collective shift towards more inclusive, sustainable, and future-oriented education systems.</w:t>
      </w:r>
    </w:p>
    <w:p w14:paraId="7A4132AA" w14:textId="77777777" w:rsidR="002C7F1E" w:rsidRDefault="002C7F1E" w:rsidP="002C7F1E">
      <w:pPr>
        <w:pStyle w:val="NormalWeb"/>
        <w:ind w:left="360"/>
        <w:jc w:val="both"/>
      </w:pPr>
      <w:r>
        <w:t xml:space="preserve">Through immersive study tours at institutions such as the Open University of China, the </w:t>
      </w:r>
      <w:proofErr w:type="spellStart"/>
      <w:r>
        <w:t>Cuihu</w:t>
      </w:r>
      <w:proofErr w:type="spellEnd"/>
      <w:r>
        <w:t xml:space="preserve"> Science and Technology Backyard, and vocational schools and enterprises, participants saw firsthand how digital technologies, green skills, and industry linkages are reshaping rural education and labor markets.</w:t>
      </w:r>
    </w:p>
    <w:p w14:paraId="32418A56" w14:textId="77777777" w:rsidR="002C7F1E" w:rsidRDefault="002C7F1E" w:rsidP="002C7F1E">
      <w:pPr>
        <w:pStyle w:val="NormalWeb"/>
        <w:ind w:left="360"/>
        <w:jc w:val="both"/>
      </w:pPr>
      <w:r>
        <w:t>The workshop concluded with a strong consensus on the importance of cross-border collaboration, policy alignment, and local empowerment in advancing the rural education agenda. It underscored that rural transformation is no longer just about infrastructure and agriculture—it is fundamentally about people, their skills, and their ability to adapt, innovate, and thrive in a rapidly changing world.</w:t>
      </w:r>
    </w:p>
    <w:p w14:paraId="5FCCB48D" w14:textId="77777777" w:rsidR="002C7F1E" w:rsidRDefault="002C7F1E" w:rsidP="002C7F1E">
      <w:pPr>
        <w:pStyle w:val="ListParagraph"/>
        <w:ind w:left="0"/>
        <w:jc w:val="both"/>
        <w:rPr>
          <w:rFonts w:ascii="Times New Roman" w:hAnsi="Times New Roman" w:cs="Times New Roman"/>
          <w:szCs w:val="24"/>
        </w:rPr>
      </w:pPr>
    </w:p>
    <w:sectPr w:rsidR="002C7F1E" w:rsidSect="00353AFE">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9379D" w14:textId="77777777" w:rsidR="00617C77" w:rsidRDefault="00617C77">
      <w:pPr>
        <w:spacing w:line="240" w:lineRule="auto"/>
      </w:pPr>
      <w:r>
        <w:separator/>
      </w:r>
    </w:p>
  </w:endnote>
  <w:endnote w:type="continuationSeparator" w:id="0">
    <w:p w14:paraId="61A951DC" w14:textId="77777777" w:rsidR="00617C77" w:rsidRDefault="00617C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aunPenh">
    <w:panose1 w:val="01010101010101010101"/>
    <w:charset w:val="00"/>
    <w:family w:val="auto"/>
    <w:pitch w:val="variable"/>
    <w:sig w:usb0="80000003" w:usb1="00000000" w:usb2="00010000" w:usb3="00000000" w:csb0="00000001"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MoolBoran">
    <w:panose1 w:val="020B0100010101010101"/>
    <w:charset w:val="00"/>
    <w:family w:val="swiss"/>
    <w:pitch w:val="variable"/>
    <w:sig w:usb0="8000000F" w:usb1="0000204A" w:usb2="0001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1B99E" w14:textId="77777777" w:rsidR="00617C77" w:rsidRDefault="00617C77">
      <w:pPr>
        <w:spacing w:after="0"/>
      </w:pPr>
      <w:r>
        <w:separator/>
      </w:r>
    </w:p>
  </w:footnote>
  <w:footnote w:type="continuationSeparator" w:id="0">
    <w:p w14:paraId="5D09A64D" w14:textId="77777777" w:rsidR="00617C77" w:rsidRDefault="00617C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824B419"/>
    <w:multiLevelType w:val="singleLevel"/>
    <w:tmpl w:val="D824B419"/>
    <w:lvl w:ilvl="0">
      <w:start w:val="1"/>
      <w:numFmt w:val="decimal"/>
      <w:suff w:val="space"/>
      <w:lvlText w:val="%1."/>
      <w:lvlJc w:val="left"/>
      <w:pPr>
        <w:ind w:left="840"/>
      </w:pPr>
    </w:lvl>
  </w:abstractNum>
  <w:abstractNum w:abstractNumId="1" w15:restartNumberingAfterBreak="0">
    <w:nsid w:val="DFDF4B5C"/>
    <w:multiLevelType w:val="singleLevel"/>
    <w:tmpl w:val="DFDF4B5C"/>
    <w:lvl w:ilvl="0">
      <w:start w:val="1"/>
      <w:numFmt w:val="decimal"/>
      <w:suff w:val="space"/>
      <w:lvlText w:val="%1."/>
      <w:lvlJc w:val="left"/>
    </w:lvl>
  </w:abstractNum>
  <w:abstractNum w:abstractNumId="2" w15:restartNumberingAfterBreak="0">
    <w:nsid w:val="08A71633"/>
    <w:multiLevelType w:val="multilevel"/>
    <w:tmpl w:val="08A716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010E55"/>
    <w:multiLevelType w:val="multilevel"/>
    <w:tmpl w:val="0B46D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C07CF9"/>
    <w:multiLevelType w:val="multilevel"/>
    <w:tmpl w:val="C70A3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E46B2E"/>
    <w:multiLevelType w:val="multilevel"/>
    <w:tmpl w:val="16E46B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92C616"/>
    <w:multiLevelType w:val="singleLevel"/>
    <w:tmpl w:val="2392C616"/>
    <w:lvl w:ilvl="0">
      <w:start w:val="2"/>
      <w:numFmt w:val="decimal"/>
      <w:suff w:val="space"/>
      <w:lvlText w:val="%1."/>
      <w:lvlJc w:val="left"/>
      <w:pPr>
        <w:ind w:left="420"/>
      </w:pPr>
    </w:lvl>
  </w:abstractNum>
  <w:abstractNum w:abstractNumId="7" w15:restartNumberingAfterBreak="0">
    <w:nsid w:val="29ED27E4"/>
    <w:multiLevelType w:val="multilevel"/>
    <w:tmpl w:val="29ED2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0569F4"/>
    <w:multiLevelType w:val="multilevel"/>
    <w:tmpl w:val="C70A3D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7734F2"/>
    <w:multiLevelType w:val="multilevel"/>
    <w:tmpl w:val="417734F2"/>
    <w:lvl w:ilvl="0">
      <w:start w:val="1"/>
      <w:numFmt w:val="decimal"/>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0" w15:restartNumberingAfterBreak="0">
    <w:nsid w:val="41DB30E6"/>
    <w:multiLevelType w:val="multilevel"/>
    <w:tmpl w:val="41DB30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3BDB"/>
    <w:multiLevelType w:val="multilevel"/>
    <w:tmpl w:val="45DC3B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CA6840"/>
    <w:multiLevelType w:val="hybridMultilevel"/>
    <w:tmpl w:val="4942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727FB"/>
    <w:multiLevelType w:val="multilevel"/>
    <w:tmpl w:val="5B3727F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5FEE9AC6"/>
    <w:multiLevelType w:val="multilevel"/>
    <w:tmpl w:val="5FEE9AC6"/>
    <w:lvl w:ilvl="0">
      <w:start w:val="1"/>
      <w:numFmt w:val="bullet"/>
      <w:lvlText w:val=""/>
      <w:lvlJc w:val="left"/>
      <w:pPr>
        <w:ind w:left="420" w:hanging="420"/>
      </w:pPr>
      <w:rPr>
        <w:rFonts w:ascii="Wingdings" w:hAnsi="Wingdings" w:cs="Wingding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5" w15:restartNumberingAfterBreak="0">
    <w:nsid w:val="682F0DE9"/>
    <w:multiLevelType w:val="hybridMultilevel"/>
    <w:tmpl w:val="B1F8FA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A6543E"/>
    <w:multiLevelType w:val="multilevel"/>
    <w:tmpl w:val="78A654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FDE4400"/>
    <w:multiLevelType w:val="multilevel"/>
    <w:tmpl w:val="7FDE44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88613865">
    <w:abstractNumId w:val="7"/>
  </w:num>
  <w:num w:numId="2" w16cid:durableId="522399421">
    <w:abstractNumId w:val="16"/>
  </w:num>
  <w:num w:numId="3" w16cid:durableId="874581862">
    <w:abstractNumId w:val="5"/>
  </w:num>
  <w:num w:numId="4" w16cid:durableId="847671213">
    <w:abstractNumId w:val="11"/>
  </w:num>
  <w:num w:numId="5" w16cid:durableId="1207067869">
    <w:abstractNumId w:val="10"/>
  </w:num>
  <w:num w:numId="6" w16cid:durableId="1428699090">
    <w:abstractNumId w:val="2"/>
  </w:num>
  <w:num w:numId="7" w16cid:durableId="2045446826">
    <w:abstractNumId w:val="13"/>
  </w:num>
  <w:num w:numId="8" w16cid:durableId="1570576244">
    <w:abstractNumId w:val="17"/>
  </w:num>
  <w:num w:numId="9" w16cid:durableId="1654528326">
    <w:abstractNumId w:val="1"/>
  </w:num>
  <w:num w:numId="10" w16cid:durableId="1991518865">
    <w:abstractNumId w:val="6"/>
  </w:num>
  <w:num w:numId="11" w16cid:durableId="1915700059">
    <w:abstractNumId w:val="0"/>
  </w:num>
  <w:num w:numId="12" w16cid:durableId="441613439">
    <w:abstractNumId w:val="15"/>
  </w:num>
  <w:num w:numId="13" w16cid:durableId="1991641084">
    <w:abstractNumId w:val="14"/>
  </w:num>
  <w:num w:numId="14" w16cid:durableId="1163084792">
    <w:abstractNumId w:val="12"/>
  </w:num>
  <w:num w:numId="15" w16cid:durableId="620378177">
    <w:abstractNumId w:val="4"/>
  </w:num>
  <w:num w:numId="16" w16cid:durableId="1710452364">
    <w:abstractNumId w:val="8"/>
  </w:num>
  <w:num w:numId="17" w16cid:durableId="740374923">
    <w:abstractNumId w:val="3"/>
  </w:num>
  <w:num w:numId="18" w16cid:durableId="1288683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F85"/>
    <w:rsid w:val="0000166C"/>
    <w:rsid w:val="0000522B"/>
    <w:rsid w:val="00023289"/>
    <w:rsid w:val="00063A6A"/>
    <w:rsid w:val="000B257E"/>
    <w:rsid w:val="000B3484"/>
    <w:rsid w:val="000D092A"/>
    <w:rsid w:val="000F1B55"/>
    <w:rsid w:val="000F7BDD"/>
    <w:rsid w:val="00102977"/>
    <w:rsid w:val="001324C2"/>
    <w:rsid w:val="0016493C"/>
    <w:rsid w:val="001907D4"/>
    <w:rsid w:val="001B6EAC"/>
    <w:rsid w:val="001C2535"/>
    <w:rsid w:val="001D138C"/>
    <w:rsid w:val="001E1FBE"/>
    <w:rsid w:val="001E52EA"/>
    <w:rsid w:val="001F2C0D"/>
    <w:rsid w:val="001F43FE"/>
    <w:rsid w:val="002347ED"/>
    <w:rsid w:val="002355E1"/>
    <w:rsid w:val="00241464"/>
    <w:rsid w:val="002500A1"/>
    <w:rsid w:val="0025692B"/>
    <w:rsid w:val="002725B6"/>
    <w:rsid w:val="002A4EFB"/>
    <w:rsid w:val="002B1B0F"/>
    <w:rsid w:val="002B3415"/>
    <w:rsid w:val="002B4F9F"/>
    <w:rsid w:val="002C7F1E"/>
    <w:rsid w:val="002D3D67"/>
    <w:rsid w:val="002E0B64"/>
    <w:rsid w:val="002E3B1D"/>
    <w:rsid w:val="002F21BD"/>
    <w:rsid w:val="002F35FA"/>
    <w:rsid w:val="00300CFE"/>
    <w:rsid w:val="003137D4"/>
    <w:rsid w:val="0032097A"/>
    <w:rsid w:val="003223BA"/>
    <w:rsid w:val="00326335"/>
    <w:rsid w:val="00353AFE"/>
    <w:rsid w:val="00364C86"/>
    <w:rsid w:val="003874AF"/>
    <w:rsid w:val="003B2D61"/>
    <w:rsid w:val="003B6BB6"/>
    <w:rsid w:val="003F50F6"/>
    <w:rsid w:val="00403297"/>
    <w:rsid w:val="004067E8"/>
    <w:rsid w:val="0041106A"/>
    <w:rsid w:val="004246EC"/>
    <w:rsid w:val="0043250C"/>
    <w:rsid w:val="00433B5D"/>
    <w:rsid w:val="00436344"/>
    <w:rsid w:val="0045074B"/>
    <w:rsid w:val="0046015D"/>
    <w:rsid w:val="004904EE"/>
    <w:rsid w:val="00495AEF"/>
    <w:rsid w:val="004B0A90"/>
    <w:rsid w:val="004B36EF"/>
    <w:rsid w:val="004B402A"/>
    <w:rsid w:val="004D2FA2"/>
    <w:rsid w:val="004E4B26"/>
    <w:rsid w:val="004F2BB8"/>
    <w:rsid w:val="0050151D"/>
    <w:rsid w:val="005072BD"/>
    <w:rsid w:val="00533E40"/>
    <w:rsid w:val="005535F6"/>
    <w:rsid w:val="005561F2"/>
    <w:rsid w:val="005669C0"/>
    <w:rsid w:val="005713C9"/>
    <w:rsid w:val="00576D52"/>
    <w:rsid w:val="005902E2"/>
    <w:rsid w:val="005A31C2"/>
    <w:rsid w:val="005A5AEF"/>
    <w:rsid w:val="005C2049"/>
    <w:rsid w:val="005C37D5"/>
    <w:rsid w:val="00614C78"/>
    <w:rsid w:val="00617C77"/>
    <w:rsid w:val="006231F3"/>
    <w:rsid w:val="00634792"/>
    <w:rsid w:val="00670A96"/>
    <w:rsid w:val="00683446"/>
    <w:rsid w:val="00683A8F"/>
    <w:rsid w:val="00684FC4"/>
    <w:rsid w:val="00686756"/>
    <w:rsid w:val="006A17FF"/>
    <w:rsid w:val="006B196A"/>
    <w:rsid w:val="006C3113"/>
    <w:rsid w:val="006C5E68"/>
    <w:rsid w:val="006D2AEB"/>
    <w:rsid w:val="00700872"/>
    <w:rsid w:val="0071625F"/>
    <w:rsid w:val="00720F8E"/>
    <w:rsid w:val="00727E21"/>
    <w:rsid w:val="0073476D"/>
    <w:rsid w:val="00757893"/>
    <w:rsid w:val="00760F8D"/>
    <w:rsid w:val="00776126"/>
    <w:rsid w:val="007975EB"/>
    <w:rsid w:val="007B6D68"/>
    <w:rsid w:val="007F2D5B"/>
    <w:rsid w:val="00834FA9"/>
    <w:rsid w:val="00842819"/>
    <w:rsid w:val="00845872"/>
    <w:rsid w:val="00851D10"/>
    <w:rsid w:val="0085618A"/>
    <w:rsid w:val="008603A7"/>
    <w:rsid w:val="00866BD4"/>
    <w:rsid w:val="008902AC"/>
    <w:rsid w:val="008A5DBE"/>
    <w:rsid w:val="008A7E8D"/>
    <w:rsid w:val="008B3DB6"/>
    <w:rsid w:val="008C44D4"/>
    <w:rsid w:val="008D3401"/>
    <w:rsid w:val="008D3F54"/>
    <w:rsid w:val="008D5B23"/>
    <w:rsid w:val="008D5CA7"/>
    <w:rsid w:val="008F2EF6"/>
    <w:rsid w:val="008F3CDE"/>
    <w:rsid w:val="00903F66"/>
    <w:rsid w:val="00904C4E"/>
    <w:rsid w:val="0091726B"/>
    <w:rsid w:val="00937CCC"/>
    <w:rsid w:val="00941920"/>
    <w:rsid w:val="009437C2"/>
    <w:rsid w:val="009668EA"/>
    <w:rsid w:val="009676EF"/>
    <w:rsid w:val="0098223F"/>
    <w:rsid w:val="00982A6A"/>
    <w:rsid w:val="009875EF"/>
    <w:rsid w:val="009900DD"/>
    <w:rsid w:val="009A53D1"/>
    <w:rsid w:val="009D4EAA"/>
    <w:rsid w:val="00A36F43"/>
    <w:rsid w:val="00A55F34"/>
    <w:rsid w:val="00A67533"/>
    <w:rsid w:val="00A824F4"/>
    <w:rsid w:val="00A84282"/>
    <w:rsid w:val="00A97335"/>
    <w:rsid w:val="00AA3287"/>
    <w:rsid w:val="00AA3F91"/>
    <w:rsid w:val="00AB0078"/>
    <w:rsid w:val="00AB31D2"/>
    <w:rsid w:val="00AB4C1C"/>
    <w:rsid w:val="00AB665F"/>
    <w:rsid w:val="00AE47E0"/>
    <w:rsid w:val="00AE767A"/>
    <w:rsid w:val="00AF5D26"/>
    <w:rsid w:val="00B31B3B"/>
    <w:rsid w:val="00B33A43"/>
    <w:rsid w:val="00B72062"/>
    <w:rsid w:val="00B80C74"/>
    <w:rsid w:val="00B86258"/>
    <w:rsid w:val="00B91A6B"/>
    <w:rsid w:val="00B9345B"/>
    <w:rsid w:val="00BA139F"/>
    <w:rsid w:val="00BC62E3"/>
    <w:rsid w:val="00BD4716"/>
    <w:rsid w:val="00BD4F85"/>
    <w:rsid w:val="00BE2173"/>
    <w:rsid w:val="00BE78CA"/>
    <w:rsid w:val="00BF20FD"/>
    <w:rsid w:val="00C4001B"/>
    <w:rsid w:val="00C51C5D"/>
    <w:rsid w:val="00C54016"/>
    <w:rsid w:val="00C949B1"/>
    <w:rsid w:val="00CA3142"/>
    <w:rsid w:val="00CE19B8"/>
    <w:rsid w:val="00CF4000"/>
    <w:rsid w:val="00D11393"/>
    <w:rsid w:val="00D53270"/>
    <w:rsid w:val="00D6313B"/>
    <w:rsid w:val="00D67615"/>
    <w:rsid w:val="00D803DB"/>
    <w:rsid w:val="00D911B3"/>
    <w:rsid w:val="00D93CF2"/>
    <w:rsid w:val="00D9705F"/>
    <w:rsid w:val="00DD6CE1"/>
    <w:rsid w:val="00DE5222"/>
    <w:rsid w:val="00E0336D"/>
    <w:rsid w:val="00E300DE"/>
    <w:rsid w:val="00E31ECA"/>
    <w:rsid w:val="00E41AAA"/>
    <w:rsid w:val="00E60F97"/>
    <w:rsid w:val="00E654AA"/>
    <w:rsid w:val="00E76805"/>
    <w:rsid w:val="00E81F59"/>
    <w:rsid w:val="00EA79B4"/>
    <w:rsid w:val="00EC215D"/>
    <w:rsid w:val="00ED4C40"/>
    <w:rsid w:val="00EE1292"/>
    <w:rsid w:val="00EE4D71"/>
    <w:rsid w:val="00F1504C"/>
    <w:rsid w:val="00F24FAF"/>
    <w:rsid w:val="00F32A25"/>
    <w:rsid w:val="00F627E1"/>
    <w:rsid w:val="00F63978"/>
    <w:rsid w:val="00F65E85"/>
    <w:rsid w:val="00F94A6D"/>
    <w:rsid w:val="00F962C8"/>
    <w:rsid w:val="00FA4BDB"/>
    <w:rsid w:val="00FD1A2B"/>
    <w:rsid w:val="081A1D88"/>
    <w:rsid w:val="344928A1"/>
    <w:rsid w:val="49697913"/>
    <w:rsid w:val="50877C8D"/>
    <w:rsid w:val="7CCD16AB"/>
    <w:rsid w:val="7F9A28CE"/>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3A98B1"/>
  <w15:docId w15:val="{F9F355DD-91DB-4410-ADCB-96490AB2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km-K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39"/>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65"/>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5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45"/>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45"/>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65"/>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0F4761" w:themeColor="accent1" w:themeShade="BF"/>
      <w:sz w:val="32"/>
      <w:szCs w:val="5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45"/>
    </w:rPr>
  </w:style>
  <w:style w:type="character" w:customStyle="1" w:styleId="Heading4Char">
    <w:name w:val="Heading 4 Char"/>
    <w:basedOn w:val="DefaultParagraphFont"/>
    <w:link w:val="Heading4"/>
    <w:uiPriority w:val="9"/>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91"/>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s-markdown-paragraph">
    <w:name w:val="ds-markdown-paragraph"/>
    <w:basedOn w:val="Normal"/>
    <w:qFormat/>
    <w:pPr>
      <w:spacing w:before="100" w:beforeAutospacing="1" w:after="100" w:afterAutospacing="1" w:line="240" w:lineRule="auto"/>
    </w:pPr>
    <w:rPr>
      <w:rFonts w:ascii="SimSun" w:eastAsia="SimSun" w:hAnsi="SimSun" w:cs="SimSun"/>
      <w:kern w:val="0"/>
      <w:szCs w:val="24"/>
      <w:lang w:eastAsia="zh-C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39551">
      <w:bodyDiv w:val="1"/>
      <w:marLeft w:val="0"/>
      <w:marRight w:val="0"/>
      <w:marTop w:val="0"/>
      <w:marBottom w:val="0"/>
      <w:divBdr>
        <w:top w:val="none" w:sz="0" w:space="0" w:color="auto"/>
        <w:left w:val="none" w:sz="0" w:space="0" w:color="auto"/>
        <w:bottom w:val="none" w:sz="0" w:space="0" w:color="auto"/>
        <w:right w:val="none" w:sz="0" w:space="0" w:color="auto"/>
      </w:divBdr>
    </w:div>
    <w:div w:id="290668580">
      <w:bodyDiv w:val="1"/>
      <w:marLeft w:val="0"/>
      <w:marRight w:val="0"/>
      <w:marTop w:val="0"/>
      <w:marBottom w:val="0"/>
      <w:divBdr>
        <w:top w:val="none" w:sz="0" w:space="0" w:color="auto"/>
        <w:left w:val="none" w:sz="0" w:space="0" w:color="auto"/>
        <w:bottom w:val="none" w:sz="0" w:space="0" w:color="auto"/>
        <w:right w:val="none" w:sz="0" w:space="0" w:color="auto"/>
      </w:divBdr>
    </w:div>
    <w:div w:id="1380591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055EA-7DEA-4BA0-A721-188DF5CE9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5167</Words>
  <Characters>29454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Saruon Suong</dc:creator>
  <cp:lastModifiedBy>AI Songheang</cp:lastModifiedBy>
  <cp:revision>2</cp:revision>
  <dcterms:created xsi:type="dcterms:W3CDTF">2025-06-30T09:08:00Z</dcterms:created>
  <dcterms:modified xsi:type="dcterms:W3CDTF">2025-06-30T09:08:00Z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ED735AC6CBCE4C48B4ECD8B03172023D_13</vt:lpwstr>
  </property>
</Properties>
</file>