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38291E">
      <w:pPr>
        <w:jc w:val="center"/>
        <w:rPr>
          <w:rFonts w:hint="default" w:ascii="Times New Roman Bold" w:hAnsi="Times New Roman Bold" w:cs="Times New Roman Bold"/>
          <w:b/>
          <w:bCs/>
          <w:sz w:val="24"/>
          <w:szCs w:val="24"/>
          <w:lang w:val="en-US" w:eastAsia="zh-CN"/>
        </w:rPr>
      </w:pPr>
      <w:r>
        <w:rPr>
          <w:rFonts w:hint="default" w:ascii="Times New Roman Bold" w:hAnsi="Times New Roman Bold" w:cs="Times New Roman Bold"/>
          <w:b/>
          <w:bCs/>
          <w:sz w:val="24"/>
          <w:szCs w:val="24"/>
          <w:lang w:val="en-US" w:eastAsia="zh-CN"/>
        </w:rPr>
        <w:t xml:space="preserve">China-ASEAN Industry-Education Integration Specialized </w:t>
      </w:r>
    </w:p>
    <w:p w14:paraId="2506D124">
      <w:pPr>
        <w:jc w:val="center"/>
        <w:rPr>
          <w:rFonts w:hint="default" w:ascii="Times New Roman Bold" w:hAnsi="Times New Roman Bold" w:cs="Times New Roman Bold"/>
          <w:b/>
          <w:bCs/>
          <w:sz w:val="24"/>
          <w:szCs w:val="24"/>
          <w:lang w:val="en-US" w:eastAsia="zh-CN"/>
        </w:rPr>
      </w:pPr>
      <w:r>
        <w:rPr>
          <w:rFonts w:hint="default" w:ascii="Times New Roman Bold" w:hAnsi="Times New Roman Bold" w:cs="Times New Roman Bold"/>
          <w:b/>
          <w:bCs/>
          <w:sz w:val="24"/>
          <w:szCs w:val="24"/>
          <w:lang w:val="en-US" w:eastAsia="zh-CN"/>
        </w:rPr>
        <w:t xml:space="preserve">Technical Skills Training Program </w:t>
      </w:r>
    </w:p>
    <w:p w14:paraId="411BD6DB">
      <w:pPr>
        <w:jc w:val="both"/>
        <w:rPr>
          <w:rFonts w:hint="eastAsia" w:ascii="Times New Roman Regular" w:hAnsi="Times New Roman Regular" w:cs="Times New Roman Regular"/>
          <w:sz w:val="24"/>
          <w:szCs w:val="24"/>
          <w:lang w:val="en-US" w:eastAsia="zh-CN"/>
        </w:rPr>
      </w:pPr>
    </w:p>
    <w:p w14:paraId="646DE714">
      <w:pPr>
        <w:jc w:val="both"/>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 xml:space="preserve">From September 25 to 30, 2025, the </w:t>
      </w:r>
      <w:r>
        <w:rPr>
          <w:rFonts w:hint="default" w:ascii="Times New Roman Italic" w:hAnsi="Times New Roman Italic" w:cs="Times New Roman Italic"/>
          <w:i/>
          <w:iCs/>
          <w:sz w:val="24"/>
          <w:szCs w:val="24"/>
          <w:lang w:val="en-US" w:eastAsia="zh-CN"/>
        </w:rPr>
        <w:t>China-ASEAN Industry-Education Integration Specialized Technical Skills Training Program</w:t>
      </w:r>
      <w:r>
        <w:rPr>
          <w:rFonts w:hint="eastAsia" w:ascii="Times New Roman Italic" w:hAnsi="Times New Roman Italic" w:cs="Times New Roman Italic"/>
          <w:i/>
          <w:iCs/>
          <w:sz w:val="24"/>
          <w:szCs w:val="24"/>
          <w:lang w:val="en-US" w:eastAsia="zh-CN"/>
        </w:rPr>
        <w:t>,</w:t>
      </w:r>
      <w:r>
        <w:rPr>
          <w:rFonts w:hint="default" w:ascii="Times New Roman Italic" w:hAnsi="Times New Roman Italic" w:cs="Times New Roman Italic"/>
          <w:i/>
          <w:iCs/>
          <w:sz w:val="24"/>
          <w:szCs w:val="24"/>
          <w:lang w:val="en-US" w:eastAsia="zh-CN"/>
        </w:rPr>
        <w:t xml:space="preserve"> </w:t>
      </w:r>
      <w:r>
        <w:rPr>
          <w:rFonts w:hint="eastAsia" w:ascii="Times New Roman Regular" w:hAnsi="Times New Roman Regular" w:cs="Times New Roman Regular"/>
          <w:sz w:val="24"/>
          <w:szCs w:val="24"/>
          <w:lang w:val="en-US" w:eastAsia="zh-CN"/>
        </w:rPr>
        <w:t>jointly conducted by multiple partners from China and ASEAN countries, was successfull</w:t>
      </w:r>
      <w:bookmarkStart w:id="0" w:name="_GoBack"/>
      <w:bookmarkEnd w:id="0"/>
      <w:r>
        <w:rPr>
          <w:rFonts w:hint="eastAsia" w:ascii="Times New Roman Regular" w:hAnsi="Times New Roman Regular" w:cs="Times New Roman Regular"/>
          <w:sz w:val="24"/>
          <w:szCs w:val="24"/>
          <w:lang w:val="en-US" w:eastAsia="zh-CN"/>
        </w:rPr>
        <w:t xml:space="preserve">y concluded. </w:t>
      </w:r>
    </w:p>
    <w:p w14:paraId="66CADC57">
      <w:pPr>
        <w:jc w:val="center"/>
        <w:rPr>
          <w:rFonts w:hint="eastAsia" w:ascii="Times New Roman Regular" w:hAnsi="Times New Roman Regular" w:cs="Times New Roman Regular"/>
          <w:sz w:val="24"/>
          <w:szCs w:val="24"/>
          <w:lang w:val="en-US" w:eastAsia="zh-CN"/>
        </w:rPr>
      </w:pPr>
      <w:r>
        <w:rPr>
          <w:rFonts w:hint="eastAsia" w:ascii="Times New Roman" w:hAnsi="Times New Roman" w:eastAsia="方正仿宋_GB2312" w:cs="方正仿宋_GB2312"/>
          <w:sz w:val="32"/>
          <w:szCs w:val="40"/>
          <w:lang w:val="en-US" w:eastAsia="zh-CN"/>
        </w:rPr>
        <w:drawing>
          <wp:anchor distT="0" distB="0" distL="114300" distR="114300" simplePos="0" relativeHeight="251660288" behindDoc="0" locked="0" layoutInCell="1" allowOverlap="1">
            <wp:simplePos x="0" y="0"/>
            <wp:positionH relativeFrom="column">
              <wp:posOffset>-13335</wp:posOffset>
            </wp:positionH>
            <wp:positionV relativeFrom="paragraph">
              <wp:posOffset>149860</wp:posOffset>
            </wp:positionV>
            <wp:extent cx="5264785" cy="2974340"/>
            <wp:effectExtent l="0" t="0" r="18415" b="22860"/>
            <wp:wrapTopAndBottom/>
            <wp:docPr id="1" name="图片 1" descr="线上合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线上合影"/>
                    <pic:cNvPicPr>
                      <a:picLocks noChangeAspect="1"/>
                    </pic:cNvPicPr>
                  </pic:nvPicPr>
                  <pic:blipFill>
                    <a:blip r:embed="rId5"/>
                    <a:stretch>
                      <a:fillRect/>
                    </a:stretch>
                  </pic:blipFill>
                  <pic:spPr>
                    <a:xfrm>
                      <a:off x="0" y="0"/>
                      <a:ext cx="5264785" cy="2974340"/>
                    </a:xfrm>
                    <a:prstGeom prst="rect">
                      <a:avLst/>
                    </a:prstGeom>
                  </pic:spPr>
                </pic:pic>
              </a:graphicData>
            </a:graphic>
          </wp:anchor>
        </w:drawing>
      </w:r>
      <w:r>
        <w:rPr>
          <w:rFonts w:hint="eastAsia" w:ascii="Times New Roman Regular" w:hAnsi="Times New Roman Regular" w:cs="Times New Roman Regular"/>
          <w:sz w:val="24"/>
          <w:szCs w:val="24"/>
          <w:lang w:val="en-US" w:eastAsia="zh-CN"/>
        </w:rPr>
        <w:t>（Group photo: opening ceremony)</w:t>
      </w:r>
    </w:p>
    <w:p w14:paraId="28C16BF1">
      <w:pPr>
        <w:jc w:val="both"/>
        <w:rPr>
          <w:rFonts w:hint="eastAsia" w:ascii="Times New Roman Regular" w:hAnsi="Times New Roman Regular" w:cs="Times New Roman Regular"/>
          <w:sz w:val="24"/>
          <w:szCs w:val="24"/>
          <w:lang w:val="en-US" w:eastAsia="zh-CN"/>
        </w:rPr>
      </w:pPr>
    </w:p>
    <w:p w14:paraId="16D009D6">
      <w:pPr>
        <w:jc w:val="both"/>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 xml:space="preserve">Co-organized by the Southeast Asian Ministers of Education Organization Regional Centre for Technical Education Development (SEAMEO TED), Xinxiang Vocational and Technical College, and Go Study Global Education, the program comprised three training sessions aimed at promoting talent cultivation in the field of intelligent manufacturing and deepening cooperation and exchange between China and ASEAN in vocational education. The initiative attracted 220 participants from ASEAN countries including Indonesia, Vietnam, Malaysia, and the Philippines. Chinese enterprises operating in ASEAN—such as PT. MTI, the Indonesian subsidiary of Zhongce Rubber Group Co., Ltd. —actively organized more than 30 local employees to participate in the training. </w:t>
      </w:r>
    </w:p>
    <w:p w14:paraId="5108C316">
      <w:pPr>
        <w:jc w:val="both"/>
        <w:rPr>
          <w:rFonts w:hint="eastAsia" w:ascii="Times New Roman Regular" w:hAnsi="Times New Roman Regular" w:cs="Times New Roman Regular"/>
          <w:sz w:val="24"/>
          <w:szCs w:val="24"/>
          <w:lang w:val="en-US" w:eastAsia="zh-CN"/>
        </w:rPr>
      </w:pPr>
    </w:p>
    <w:p w14:paraId="4051437E">
      <w:pPr>
        <w:jc w:val="both"/>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The opening ceremony brought together distinguished representatives from China and ASEAN. Among the keynote speakers were Mr. Mara Pho, Head of the Department of Technical Education and Training of SEAMEO TED; Ms. Yuan Shuhui, Vice President of Xinxiang Vocational and Technical College; Ms. Windi, Human Resources Manager of PT. MTI; and Mr. Yusuf Nugraha Andrian, supervisor of the Southeast Asia Youth Sustainable Development Foundation (PASITA). The guests delivered opening remarks, expressing their shared commitment to strengthening industry-education integration and advancing vocational education collaboration between China and ASEAN. Their speeches marked the official launch of the training program and set the tone for a week of productive learning and exchange.</w:t>
      </w:r>
    </w:p>
    <w:p w14:paraId="534EB2E8">
      <w:pPr>
        <w:jc w:val="both"/>
        <w:rPr>
          <w:rFonts w:hint="eastAsia" w:ascii="Times New Roman Regular" w:hAnsi="Times New Roman Regular" w:cs="Times New Roman Regular"/>
          <w:sz w:val="24"/>
          <w:szCs w:val="24"/>
          <w:lang w:val="en-US" w:eastAsia="zh-CN"/>
        </w:rPr>
      </w:pPr>
    </w:p>
    <w:p w14:paraId="54DED2BA">
      <w:pPr>
        <w:jc w:val="both"/>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The training program was designed in alignment with enterprise needs in areas such as automated production line maintenance and mechanical equipment optimization.</w:t>
      </w:r>
      <w:r>
        <w:rPr>
          <w:rFonts w:hint="eastAsia" w:ascii="Times New Roman Regular" w:hAnsi="Times New Roman Regular" w:cs="Times New Roman Regular"/>
          <w:sz w:val="24"/>
          <w:szCs w:val="24"/>
          <w:lang w:val="en-US" w:eastAsia="zh-CN"/>
        </w:rPr>
        <w:br w:type="textWrapping"/>
      </w:r>
      <w:r>
        <w:rPr>
          <w:rFonts w:hint="eastAsia" w:ascii="Times New Roman Regular" w:hAnsi="Times New Roman Regular" w:cs="Times New Roman Regular"/>
          <w:sz w:val="24"/>
          <w:szCs w:val="24"/>
          <w:lang w:val="en-US" w:eastAsia="zh-CN"/>
        </w:rPr>
        <w:t>Enterprise and college jointly determined the core training modules, ensuring a precise match between talent cultivation and industrial demand. It is a meaningful practice of industry-education integration, not only fulfills the company</w:t>
      </w:r>
      <w:r>
        <w:rPr>
          <w:rFonts w:hint="default" w:ascii="Times New Roman Regular" w:hAnsi="Times New Roman Regular" w:cs="Times New Roman Regular"/>
          <w:sz w:val="24"/>
          <w:szCs w:val="24"/>
          <w:lang w:val="en-US" w:eastAsia="zh-CN"/>
        </w:rPr>
        <w:t>’</w:t>
      </w:r>
      <w:r>
        <w:rPr>
          <w:rFonts w:hint="eastAsia" w:ascii="Times New Roman Regular" w:hAnsi="Times New Roman Regular" w:cs="Times New Roman Regular"/>
          <w:sz w:val="24"/>
          <w:szCs w:val="24"/>
          <w:lang w:val="en-US" w:eastAsia="zh-CN"/>
        </w:rPr>
        <w:t>s demand for localized skilled talent but also provides trainees with valuable opportunities for upskilling—achieving a win-win outcome for enterprises, educational institutions, and individuals.</w:t>
      </w:r>
    </w:p>
    <w:p w14:paraId="58AAACC9">
      <w:pPr>
        <w:jc w:val="both"/>
        <w:rPr>
          <w:rFonts w:hint="eastAsia" w:ascii="Times New Roman Regular" w:hAnsi="Times New Roman Regular" w:cs="Times New Roman Regular"/>
          <w:sz w:val="24"/>
          <w:szCs w:val="24"/>
          <w:lang w:val="en-US" w:eastAsia="zh-CN"/>
        </w:rPr>
      </w:pPr>
    </w:p>
    <w:p w14:paraId="32CDB72C">
      <w:pPr>
        <w:jc w:val="both"/>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 xml:space="preserve">The three online sessions focused on core skills in industrial automation, covering: </w:t>
      </w:r>
      <w:r>
        <w:rPr>
          <w:rFonts w:hint="default" w:ascii="Times New Roman Italic" w:hAnsi="Times New Roman Italic" w:cs="Times New Roman Italic"/>
          <w:i/>
          <w:iCs/>
          <w:sz w:val="24"/>
          <w:szCs w:val="24"/>
          <w:lang w:val="en-US" w:eastAsia="zh-CN"/>
        </w:rPr>
        <w:t>Fundamentals of PL</w:t>
      </w:r>
      <w:r>
        <w:rPr>
          <w:rFonts w:hint="eastAsia" w:ascii="Times New Roman Italic" w:hAnsi="Times New Roman Italic" w:cs="Times New Roman Italic"/>
          <w:i/>
          <w:iCs/>
          <w:sz w:val="24"/>
          <w:szCs w:val="24"/>
          <w:lang w:val="en-US" w:eastAsia="zh-CN"/>
        </w:rPr>
        <w:t>C</w:t>
      </w:r>
      <w:r>
        <w:rPr>
          <w:rFonts w:hint="default" w:ascii="Times New Roman Italic" w:hAnsi="Times New Roman Italic" w:cs="Times New Roman Italic"/>
          <w:i/>
          <w:iCs/>
          <w:sz w:val="24"/>
          <w:szCs w:val="24"/>
          <w:lang w:val="en-US" w:eastAsia="zh-CN"/>
        </w:rPr>
        <w:t>, Fundamentals of Mechanical Design,</w:t>
      </w:r>
      <w:r>
        <w:rPr>
          <w:rFonts w:hint="default" w:ascii="Times New Roman" w:hAnsi="Times New Roman" w:cs="Times New Roman"/>
          <w:i w:val="0"/>
          <w:iCs w:val="0"/>
          <w:sz w:val="24"/>
          <w:szCs w:val="24"/>
          <w:lang w:val="en-US" w:eastAsia="zh-CN"/>
        </w:rPr>
        <w:t xml:space="preserve"> and</w:t>
      </w:r>
      <w:r>
        <w:rPr>
          <w:rFonts w:hint="default" w:ascii="Times New Roman Italic" w:hAnsi="Times New Roman Italic" w:cs="Times New Roman Italic"/>
          <w:i/>
          <w:iCs/>
          <w:sz w:val="24"/>
          <w:szCs w:val="24"/>
          <w:lang w:val="en-US" w:eastAsia="zh-CN"/>
        </w:rPr>
        <w:t xml:space="preserve"> Fundamentals of CNC Lathe Programming</w:t>
      </w:r>
      <w:r>
        <w:rPr>
          <w:rFonts w:hint="eastAsia" w:ascii="Times New Roman Regular" w:hAnsi="Times New Roman Regular" w:cs="Times New Roman Regular"/>
          <w:sz w:val="24"/>
          <w:szCs w:val="24"/>
          <w:lang w:val="en-US" w:eastAsia="zh-CN"/>
        </w:rPr>
        <w:t>. Each course combined theoretical knowledge with practical case analysis and live demonstrations, ensuring close alignment with real-world industrial applications.</w:t>
      </w:r>
    </w:p>
    <w:p w14:paraId="0AC31CE1">
      <w:pPr>
        <w:jc w:val="both"/>
        <w:rPr>
          <w:rFonts w:hint="eastAsia" w:ascii="Times New Roman Regular" w:hAnsi="Times New Roman Regular" w:cs="Times New Roman Regular"/>
          <w:sz w:val="24"/>
          <w:szCs w:val="24"/>
          <w:lang w:val="en-US" w:eastAsia="zh-CN"/>
        </w:rPr>
      </w:pPr>
      <w:r>
        <w:rPr>
          <w:rFonts w:hint="eastAsia" w:ascii="Times New Roman" w:hAnsi="Times New Roman" w:eastAsia="方正仿宋_GB2312" w:cs="方正仿宋_GB2312"/>
          <w:sz w:val="32"/>
          <w:szCs w:val="40"/>
          <w:lang w:val="en-US" w:eastAsia="zh-CN"/>
        </w:rPr>
        <w:drawing>
          <wp:anchor distT="0" distB="0" distL="114300" distR="114300" simplePos="0" relativeHeight="251662336" behindDoc="1" locked="0" layoutInCell="1" allowOverlap="1">
            <wp:simplePos x="0" y="0"/>
            <wp:positionH relativeFrom="column">
              <wp:posOffset>-84455</wp:posOffset>
            </wp:positionH>
            <wp:positionV relativeFrom="paragraph">
              <wp:posOffset>2862580</wp:posOffset>
            </wp:positionV>
            <wp:extent cx="5400040" cy="3510915"/>
            <wp:effectExtent l="0" t="0" r="10160" b="19685"/>
            <wp:wrapNone/>
            <wp:docPr id="5" name="图片 5" descr="授课中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授课中1"/>
                    <pic:cNvPicPr>
                      <a:picLocks noChangeAspect="1"/>
                    </pic:cNvPicPr>
                  </pic:nvPicPr>
                  <pic:blipFill>
                    <a:blip r:embed="rId6"/>
                    <a:stretch>
                      <a:fillRect/>
                    </a:stretch>
                  </pic:blipFill>
                  <pic:spPr>
                    <a:xfrm>
                      <a:off x="0" y="0"/>
                      <a:ext cx="5400040" cy="3510915"/>
                    </a:xfrm>
                    <a:prstGeom prst="rect">
                      <a:avLst/>
                    </a:prstGeom>
                  </pic:spPr>
                </pic:pic>
              </a:graphicData>
            </a:graphic>
          </wp:anchor>
        </w:drawing>
      </w:r>
    </w:p>
    <w:p w14:paraId="5724D583">
      <w:pPr>
        <w:jc w:val="both"/>
        <w:rPr>
          <w:rFonts w:hint="eastAsia" w:ascii="Times New Roman Regular" w:hAnsi="Times New Roman Regular" w:cs="Times New Roman Regular"/>
          <w:sz w:val="24"/>
          <w:szCs w:val="24"/>
          <w:lang w:val="en-US" w:eastAsia="zh-CN"/>
        </w:rPr>
      </w:pPr>
    </w:p>
    <w:p w14:paraId="0FB0861B">
      <w:pPr>
        <w:jc w:val="both"/>
        <w:rPr>
          <w:rFonts w:hint="eastAsia" w:ascii="Times New Roman Regular" w:hAnsi="Times New Roman Regular" w:cs="Times New Roman Regular"/>
          <w:sz w:val="24"/>
          <w:szCs w:val="24"/>
          <w:lang w:val="en-US" w:eastAsia="zh-CN"/>
        </w:rPr>
      </w:pPr>
    </w:p>
    <w:p w14:paraId="5FA891FE">
      <w:pPr>
        <w:jc w:val="both"/>
        <w:rPr>
          <w:rFonts w:hint="eastAsia" w:ascii="Times New Roman Regular" w:hAnsi="Times New Roman Regular" w:cs="Times New Roman Regular"/>
          <w:sz w:val="24"/>
          <w:szCs w:val="24"/>
          <w:lang w:val="en-US" w:eastAsia="zh-CN"/>
        </w:rPr>
      </w:pPr>
    </w:p>
    <w:p w14:paraId="48242EF2">
      <w:pPr>
        <w:jc w:val="both"/>
        <w:rPr>
          <w:rFonts w:hint="eastAsia" w:ascii="Times New Roman Regular" w:hAnsi="Times New Roman Regular" w:cs="Times New Roman Regular"/>
          <w:sz w:val="24"/>
          <w:szCs w:val="24"/>
          <w:lang w:val="en-US" w:eastAsia="zh-CN"/>
        </w:rPr>
      </w:pPr>
    </w:p>
    <w:p w14:paraId="5B59A2AA">
      <w:pPr>
        <w:jc w:val="both"/>
        <w:rPr>
          <w:rFonts w:hint="eastAsia" w:ascii="Times New Roman Regular" w:hAnsi="Times New Roman Regular" w:cs="Times New Roman Regular"/>
          <w:sz w:val="24"/>
          <w:szCs w:val="24"/>
          <w:lang w:val="en-US" w:eastAsia="zh-CN"/>
        </w:rPr>
      </w:pPr>
    </w:p>
    <w:p w14:paraId="4EF8C6A8">
      <w:pPr>
        <w:jc w:val="both"/>
        <w:rPr>
          <w:rFonts w:hint="eastAsia" w:ascii="Times New Roman Regular" w:hAnsi="Times New Roman Regular" w:cs="Times New Roman Regular"/>
          <w:sz w:val="24"/>
          <w:szCs w:val="24"/>
          <w:lang w:val="en-US" w:eastAsia="zh-CN"/>
        </w:rPr>
      </w:pPr>
    </w:p>
    <w:p w14:paraId="0F6CDD48">
      <w:pPr>
        <w:jc w:val="both"/>
        <w:rPr>
          <w:rFonts w:hint="eastAsia" w:ascii="Times New Roman Regular" w:hAnsi="Times New Roman Regular" w:cs="Times New Roman Regular"/>
          <w:sz w:val="24"/>
          <w:szCs w:val="24"/>
          <w:lang w:val="en-US" w:eastAsia="zh-CN"/>
        </w:rPr>
      </w:pPr>
    </w:p>
    <w:p w14:paraId="1863EBED">
      <w:pPr>
        <w:jc w:val="both"/>
        <w:rPr>
          <w:rFonts w:hint="eastAsia" w:ascii="Times New Roman Regular" w:hAnsi="Times New Roman Regular" w:cs="Times New Roman Regular"/>
          <w:sz w:val="24"/>
          <w:szCs w:val="24"/>
          <w:lang w:val="en-US" w:eastAsia="zh-CN"/>
        </w:rPr>
      </w:pPr>
    </w:p>
    <w:p w14:paraId="00602D4F">
      <w:pPr>
        <w:jc w:val="both"/>
        <w:rPr>
          <w:rFonts w:hint="eastAsia" w:ascii="Times New Roman Regular" w:hAnsi="Times New Roman Regular" w:cs="Times New Roman Regular"/>
          <w:sz w:val="24"/>
          <w:szCs w:val="24"/>
          <w:lang w:val="en-US" w:eastAsia="zh-CN"/>
        </w:rPr>
      </w:pPr>
    </w:p>
    <w:p w14:paraId="783C3C68">
      <w:pPr>
        <w:jc w:val="both"/>
        <w:rPr>
          <w:rFonts w:hint="eastAsia" w:ascii="Times New Roman Regular" w:hAnsi="Times New Roman Regular" w:cs="Times New Roman Regular"/>
          <w:sz w:val="24"/>
          <w:szCs w:val="24"/>
          <w:lang w:val="en-US" w:eastAsia="zh-CN"/>
        </w:rPr>
      </w:pPr>
    </w:p>
    <w:p w14:paraId="2F514742">
      <w:pPr>
        <w:jc w:val="both"/>
        <w:rPr>
          <w:rFonts w:hint="eastAsia" w:ascii="Times New Roman Regular" w:hAnsi="Times New Roman Regular" w:cs="Times New Roman Regular"/>
          <w:sz w:val="24"/>
          <w:szCs w:val="24"/>
          <w:lang w:val="en-US" w:eastAsia="zh-CN"/>
        </w:rPr>
      </w:pPr>
    </w:p>
    <w:p w14:paraId="001FF326">
      <w:pPr>
        <w:jc w:val="both"/>
        <w:rPr>
          <w:rFonts w:hint="eastAsia" w:ascii="Times New Roman Regular" w:hAnsi="Times New Roman Regular" w:cs="Times New Roman Regular"/>
          <w:sz w:val="24"/>
          <w:szCs w:val="24"/>
          <w:lang w:val="en-US" w:eastAsia="zh-CN"/>
        </w:rPr>
      </w:pPr>
      <w:r>
        <w:rPr>
          <w:rFonts w:hint="default" w:ascii="Times New Roman" w:hAnsi="Times New Roman" w:eastAsia="方正仿宋_GB2312" w:cs="方正仿宋_GB2312"/>
          <w:sz w:val="32"/>
          <w:szCs w:val="40"/>
          <w:lang w:val="en-US" w:eastAsia="zh-CN"/>
        </w:rPr>
        <w:drawing>
          <wp:anchor distT="0" distB="0" distL="114935" distR="114935" simplePos="0" relativeHeight="251661312" behindDoc="0" locked="0" layoutInCell="1" allowOverlap="1">
            <wp:simplePos x="0" y="0"/>
            <wp:positionH relativeFrom="column">
              <wp:posOffset>-78105</wp:posOffset>
            </wp:positionH>
            <wp:positionV relativeFrom="page">
              <wp:posOffset>4279900</wp:posOffset>
            </wp:positionV>
            <wp:extent cx="5400040" cy="2649855"/>
            <wp:effectExtent l="0" t="0" r="10160" b="17145"/>
            <wp:wrapSquare wrapText="bothSides"/>
            <wp:docPr id="6" name="图片 6" descr="授课中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授课中4"/>
                    <pic:cNvPicPr>
                      <a:picLocks noChangeAspect="1"/>
                    </pic:cNvPicPr>
                  </pic:nvPicPr>
                  <pic:blipFill>
                    <a:blip r:embed="rId7"/>
                    <a:srcRect t="12908" b="11703"/>
                    <a:stretch>
                      <a:fillRect/>
                    </a:stretch>
                  </pic:blipFill>
                  <pic:spPr>
                    <a:xfrm>
                      <a:off x="0" y="0"/>
                      <a:ext cx="5400040" cy="2649855"/>
                    </a:xfrm>
                    <a:prstGeom prst="rect">
                      <a:avLst/>
                    </a:prstGeom>
                  </pic:spPr>
                </pic:pic>
              </a:graphicData>
            </a:graphic>
          </wp:anchor>
        </w:drawing>
      </w:r>
    </w:p>
    <w:p w14:paraId="36A4FA6D">
      <w:pPr>
        <w:jc w:val="both"/>
        <w:rPr>
          <w:rFonts w:hint="eastAsia" w:ascii="Times New Roman Regular" w:hAnsi="Times New Roman Regular" w:cs="Times New Roman Regular"/>
          <w:sz w:val="24"/>
          <w:szCs w:val="24"/>
          <w:lang w:val="en-US" w:eastAsia="zh-CN"/>
        </w:rPr>
      </w:pPr>
    </w:p>
    <w:p w14:paraId="3C8DB2CE">
      <w:pPr>
        <w:jc w:val="center"/>
        <w:rPr>
          <w:rFonts w:hint="default" w:ascii="Times New Roman Regular" w:hAnsi="Times New Roman Regular" w:cs="Times New Roman Regular"/>
          <w:sz w:val="24"/>
          <w:szCs w:val="24"/>
          <w:lang w:val="en-US" w:eastAsia="zh-CN"/>
        </w:rPr>
      </w:pPr>
      <w:r>
        <w:rPr>
          <w:rFonts w:hint="default" w:ascii="Times New Roman" w:hAnsi="Times New Roman" w:eastAsia="方正仿宋_GB2312" w:cs="方正仿宋_GB2312"/>
          <w:sz w:val="32"/>
          <w:szCs w:val="40"/>
          <w:lang w:val="en-US" w:eastAsia="zh-CN"/>
        </w:rPr>
        <w:drawing>
          <wp:anchor distT="0" distB="0" distL="114300" distR="114300" simplePos="0" relativeHeight="251663360" behindDoc="0" locked="0" layoutInCell="1" allowOverlap="1">
            <wp:simplePos x="0" y="0"/>
            <wp:positionH relativeFrom="column">
              <wp:posOffset>-87630</wp:posOffset>
            </wp:positionH>
            <wp:positionV relativeFrom="page">
              <wp:posOffset>1010285</wp:posOffset>
            </wp:positionV>
            <wp:extent cx="5416550" cy="3522980"/>
            <wp:effectExtent l="0" t="0" r="19050" b="7620"/>
            <wp:wrapTopAndBottom/>
            <wp:docPr id="8" name="图片 8" descr="截屏2025-09-30 15.0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截屏2025-09-30 15.06.36"/>
                    <pic:cNvPicPr>
                      <a:picLocks noChangeAspect="1"/>
                    </pic:cNvPicPr>
                  </pic:nvPicPr>
                  <pic:blipFill>
                    <a:blip r:embed="rId8"/>
                    <a:stretch>
                      <a:fillRect/>
                    </a:stretch>
                  </pic:blipFill>
                  <pic:spPr>
                    <a:xfrm>
                      <a:off x="0" y="0"/>
                      <a:ext cx="5416550" cy="3522980"/>
                    </a:xfrm>
                    <a:prstGeom prst="rect">
                      <a:avLst/>
                    </a:prstGeom>
                  </pic:spPr>
                </pic:pic>
              </a:graphicData>
            </a:graphic>
          </wp:anchor>
        </w:drawing>
      </w:r>
      <w:r>
        <w:rPr>
          <w:rFonts w:hint="eastAsia" w:ascii="Times New Roman Regular" w:hAnsi="Times New Roman Regular" w:cs="Times New Roman Regular"/>
          <w:sz w:val="24"/>
          <w:szCs w:val="24"/>
          <w:lang w:val="en-US" w:eastAsia="zh-CN"/>
        </w:rPr>
        <w:t>(Training Sessions)</w:t>
      </w:r>
    </w:p>
    <w:p w14:paraId="372F80B8">
      <w:pPr>
        <w:jc w:val="both"/>
        <w:rPr>
          <w:rFonts w:hint="eastAsia" w:ascii="Times New Roman Regular" w:hAnsi="Times New Roman Regular" w:cs="Times New Roman Regular"/>
          <w:sz w:val="24"/>
          <w:szCs w:val="24"/>
          <w:lang w:val="en-US" w:eastAsia="zh-CN"/>
        </w:rPr>
      </w:pPr>
    </w:p>
    <w:p w14:paraId="35A10EF8">
      <w:pPr>
        <w:jc w:val="both"/>
        <w:rPr>
          <w:rFonts w:hint="eastAsia" w:ascii="Times New Roman Regular" w:hAnsi="Times New Roman Regular" w:cs="Times New Roman Regular"/>
          <w:sz w:val="24"/>
          <w:szCs w:val="24"/>
          <w:lang w:val="en-US" w:eastAsia="zh-CN"/>
        </w:rPr>
      </w:pPr>
      <w:r>
        <w:rPr>
          <w:rFonts w:hint="eastAsia" w:ascii="Times New Roman Regular" w:hAnsi="Times New Roman Regular" w:cs="Times New Roman Regular"/>
          <w:sz w:val="24"/>
          <w:szCs w:val="24"/>
          <w:lang w:val="en-US" w:eastAsia="zh-CN"/>
        </w:rPr>
        <w:t>Looking ahead, the China-ASEAN Industry-Education Integration Specialized Technical Skills Training Program will continue to advance a systematic and internationalized curriculum, effectively supporting the development of ASEAN youth technical talent, strengthening multi-party collaboration among enterprises, institutions, and regional organizations, and energize China-ASEAN production capacity cooperation and vocational education exchange—providing a solid foundation for sustainable regional economic growth.</w:t>
      </w:r>
    </w:p>
    <w:p w14:paraId="7F2C24AD">
      <w:pPr>
        <w:jc w:val="both"/>
        <w:rPr>
          <w:rFonts w:hint="eastAsia" w:ascii="Times New Roman Regular" w:hAnsi="Times New Roman Regular" w:cs="Times New Roman Regular"/>
          <w:sz w:val="24"/>
          <w:szCs w:val="24"/>
          <w:lang w:val="en-US" w:eastAsia="zh-CN"/>
        </w:rPr>
      </w:pPr>
    </w:p>
    <w:p w14:paraId="64CAA177">
      <w:pPr>
        <w:jc w:val="both"/>
        <w:rPr>
          <w:rFonts w:hint="default" w:ascii="Times New Roman Regular" w:hAnsi="Times New Roman Regular" w:cs="Times New Roman Regular"/>
          <w:sz w:val="24"/>
          <w:szCs w:val="24"/>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imes New Roman Bold">
    <w:altName w:val="Times New Roman"/>
    <w:panose1 w:val="02020503050405090304"/>
    <w:charset w:val="00"/>
    <w:family w:val="auto"/>
    <w:pitch w:val="default"/>
    <w:sig w:usb0="00000000" w:usb1="00000000" w:usb2="00000001" w:usb3="00000000" w:csb0="400001BF" w:csb1="DFF70000"/>
  </w:font>
  <w:font w:name="Times New Roman Regular">
    <w:altName w:val="Times New Roman"/>
    <w:panose1 w:val="02020503050405090304"/>
    <w:charset w:val="00"/>
    <w:family w:val="auto"/>
    <w:pitch w:val="default"/>
    <w:sig w:usb0="00000000" w:usb1="00000000" w:usb2="00000001" w:usb3="00000000" w:csb0="400001BF" w:csb1="DFF70000"/>
  </w:font>
  <w:font w:name="Times New Roman Italic">
    <w:altName w:val="Times New Roman"/>
    <w:panose1 w:val="02020503050405090304"/>
    <w:charset w:val="00"/>
    <w:family w:val="auto"/>
    <w:pitch w:val="default"/>
    <w:sig w:usb0="00000000" w:usb1="00000000" w:usb2="00000001" w:usb3="00000000" w:csb0="400001BF" w:csb1="DFF70000"/>
  </w:font>
  <w:font w:name="方正仿宋_GB2312">
    <w:altName w:val="Microsoft YaHei UI Light"/>
    <w:panose1 w:val="02000000000000000000"/>
    <w:charset w:val="86"/>
    <w:family w:val="auto"/>
    <w:pitch w:val="default"/>
    <w:sig w:usb0="00000000" w:usb1="00000000" w:usb2="00000012" w:usb3="00000000" w:csb0="00040001" w:csb1="00000000"/>
  </w:font>
  <w:font w:name="Microsoft YaHei">
    <w:panose1 w:val="020B0503020204020204"/>
    <w:charset w:val="86"/>
    <w:family w:val="auto"/>
    <w:pitch w:val="default"/>
    <w:sig w:usb0="80000287" w:usb1="2ACF3C50" w:usb2="00000016" w:usb3="00000000" w:csb0="0004001F" w:csb1="00000000"/>
  </w:font>
  <w:font w:name="Microsoft YaHei UI Light">
    <w:panose1 w:val="020B0502040204020203"/>
    <w:charset w:val="86"/>
    <w:family w:val="auto"/>
    <w:pitch w:val="default"/>
    <w:sig w:usb0="80000287" w:usb1="2ACF001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23AC1">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F3B2917">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PX0393MAgAA&#10;IwYAAA4AAAAAAAAAAQAgAAAAHwEAAGRycy9lMm9Eb2MueG1sUEsFBgAAAAAGAAYAWQEAAF0GAAAA&#10;AA==&#10;">
              <v:fill on="f" focussize="0,0"/>
              <v:stroke on="f" weight="0.5pt"/>
              <v:imagedata o:title=""/>
              <o:lock v:ext="edit" aspectratio="f"/>
              <v:textbox inset="0mm,0mm,0mm,0mm" style="mso-fit-shape-to-text:t;">
                <w:txbxContent>
                  <w:p w14:paraId="6F3B2917">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87DD8CDB"/>
    <w:rsid w:val="30992D58"/>
    <w:rsid w:val="7797091C"/>
    <w:rsid w:val="87DD8CDB"/>
    <w:rsid w:val="F3E5ED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Emphasis"/>
    <w:basedOn w:val="2"/>
    <w:qFormat/>
    <w:uiPriority w:val="0"/>
    <w:rPr>
      <w:i/>
    </w:r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tabs>
        <w:tab w:val="center" w:pos="4153"/>
        <w:tab w:val="right" w:pos="8306"/>
      </w:tabs>
      <w:snapToGrid w:val="0"/>
    </w:pPr>
    <w:rPr>
      <w:sz w:val="18"/>
      <w:szCs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2"/>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79</TotalTime>
  <ScaleCrop>false</ScaleCrop>
  <LinksUpToDate>false</LinksUpToDate>
  <CharactersWithSpaces>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2025-10-09T18:05:00Z</dcterms:created>
  <dc:creator>阿李李</dc:creator>
  <cp:lastModifiedBy>USER</cp:lastModifiedBy>
  <dcterms:modified xsi:type="dcterms:W3CDTF">2025-10-13T05:21:57Z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0771F27ABB26490F853D244EBF073ADE_13</vt:lpwstr>
  </property>
</Properties>
</file>