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389D9">
      <w:pPr>
        <w:widowControl/>
        <w:spacing w:before="100" w:beforeAutospacing="1"/>
        <w:jc w:val="center"/>
        <w:rPr>
          <w:rFonts w:ascii="Times New Roman" w:hAnsi="Times New Roman" w:eastAsia="Times New Roman" w:cs="Times New Roman"/>
          <w:b/>
          <w:bCs/>
          <w:color w:val="000000"/>
          <w:kern w:val="0"/>
          <w:sz w:val="28"/>
          <w:szCs w:val="28"/>
          <w:lang w:eastAsia="en-US"/>
        </w:rPr>
      </w:pPr>
      <w:r>
        <w:rPr>
          <w:rFonts w:ascii="Times New Roman" w:hAnsi="Times New Roman" w:eastAsia="Times New Roman" w:cs="Times New Roman"/>
          <w:b/>
          <w:bCs/>
          <w:color w:val="000000"/>
          <w:kern w:val="0"/>
          <w:sz w:val="28"/>
          <w:szCs w:val="28"/>
          <w:lang w:eastAsia="en-US"/>
        </w:rPr>
        <w:t>Report</w:t>
      </w:r>
    </w:p>
    <w:p w14:paraId="22985512">
      <w:pPr>
        <w:widowControl/>
        <w:spacing w:line="360" w:lineRule="auto"/>
        <w:jc w:val="center"/>
        <w:rPr>
          <w:rFonts w:ascii="Times New Roman" w:hAnsi="Times New Roman" w:eastAsia="Times New Roman" w:cs="Times New Roman"/>
          <w:b/>
          <w:bCs/>
          <w:color w:val="000000"/>
          <w:kern w:val="0"/>
          <w:sz w:val="24"/>
          <w:lang w:eastAsia="en-US"/>
        </w:rPr>
      </w:pPr>
      <w:r>
        <w:rPr>
          <w:rFonts w:ascii="Times New Roman" w:hAnsi="Times New Roman" w:eastAsia="Times New Roman" w:cs="Times New Roman"/>
          <w:b/>
          <w:bCs/>
          <w:color w:val="000000"/>
          <w:kern w:val="0"/>
          <w:sz w:val="24"/>
          <w:lang w:eastAsia="en-US"/>
        </w:rPr>
        <w:t xml:space="preserve">International Expert Sharing Meeting on </w:t>
      </w:r>
    </w:p>
    <w:p w14:paraId="1E260882">
      <w:pPr>
        <w:widowControl/>
        <w:spacing w:line="360" w:lineRule="auto"/>
        <w:jc w:val="center"/>
        <w:rPr>
          <w:rFonts w:ascii="Times New Roman" w:hAnsi="Times New Roman" w:eastAsia="Times New Roman" w:cs="Times New Roman"/>
          <w:b/>
          <w:bCs/>
          <w:color w:val="000000"/>
          <w:kern w:val="0"/>
          <w:sz w:val="24"/>
          <w:lang w:eastAsia="en-US"/>
        </w:rPr>
      </w:pPr>
      <w:r>
        <w:rPr>
          <w:rFonts w:ascii="Times New Roman" w:hAnsi="Times New Roman" w:eastAsia="Times New Roman" w:cs="Times New Roman"/>
          <w:b/>
          <w:bCs/>
          <w:color w:val="000000"/>
          <w:kern w:val="0"/>
          <w:sz w:val="24"/>
          <w:lang w:eastAsia="en-US"/>
        </w:rPr>
        <w:t>“Digital Storytelling and Cross-Cultural Communication”</w:t>
      </w:r>
    </w:p>
    <w:p w14:paraId="0FD6C42F">
      <w:pPr>
        <w:widowControl/>
        <w:spacing w:line="360" w:lineRule="auto"/>
        <w:jc w:val="center"/>
        <w:rPr>
          <w:rFonts w:ascii="Times New Roman" w:hAnsi="Times New Roman" w:eastAsia="Times New Roman" w:cs="Times New Roman"/>
          <w:b/>
          <w:bCs/>
          <w:color w:val="000000"/>
          <w:kern w:val="0"/>
          <w:sz w:val="24"/>
          <w:lang w:eastAsia="en-US"/>
        </w:rPr>
      </w:pPr>
      <w:r>
        <w:rPr>
          <w:rFonts w:ascii="Times New Roman" w:hAnsi="Times New Roman" w:eastAsia="Times New Roman" w:cs="Times New Roman"/>
          <w:b/>
          <w:bCs/>
          <w:color w:val="000000"/>
          <w:kern w:val="0"/>
          <w:sz w:val="24"/>
          <w:lang w:eastAsia="en-US"/>
        </w:rPr>
        <w:t>16 January 2026 (Online)</w:t>
      </w:r>
    </w:p>
    <w:p w14:paraId="7AC4E6EE">
      <w:pPr>
        <w:widowControl/>
        <w:spacing w:before="100" w:beforeAutospacing="1" w:after="100" w:afterAutospacing="1" w:line="360" w:lineRule="auto"/>
        <w:rPr>
          <w:rFonts w:hint="default" w:ascii="Times New Roman" w:hAnsi="Times New Roman" w:eastAsia="Times New Roman" w:cs="Times New Roman"/>
          <w:color w:val="000000"/>
          <w:kern w:val="0"/>
          <w:szCs w:val="21"/>
          <w:lang w:val="en-US" w:eastAsia="en-US"/>
        </w:rPr>
      </w:pPr>
      <w:r>
        <w:rPr>
          <w:rFonts w:ascii="Times New Roman" w:hAnsi="Times New Roman" w:eastAsia="Times New Roman" w:cs="Times New Roman"/>
          <w:color w:val="000000"/>
          <w:kern w:val="0"/>
          <w:szCs w:val="21"/>
          <w:lang w:val="zh-CN" w:eastAsia="en-US"/>
        </w:rPr>
        <w:t xml:space="preserve">On the afternoon of January 16, 2026, the 12th session of the </w:t>
      </w:r>
      <w:r>
        <w:rPr>
          <w:rFonts w:ascii="Times New Roman Italic" w:hAnsi="Times New Roman Italic" w:eastAsia="Times New Roman" w:cs="Times New Roman Italic"/>
          <w:i/>
          <w:iCs/>
          <w:color w:val="000000"/>
          <w:kern w:val="0"/>
          <w:szCs w:val="21"/>
          <w:lang w:val="zh-CN" w:eastAsia="en-US"/>
        </w:rPr>
        <w:t>International Experts Sharing Meeting</w:t>
      </w:r>
      <w:r>
        <w:rPr>
          <w:rFonts w:hint="eastAsia" w:ascii="Times New Roman" w:hAnsi="Times New Roman" w:eastAsia="SimSun" w:cs="Times New Roman"/>
          <w:color w:val="000000"/>
          <w:kern w:val="0"/>
          <w:szCs w:val="21"/>
        </w:rPr>
        <w:t xml:space="preserve">, </w:t>
      </w:r>
      <w:r>
        <w:rPr>
          <w:rFonts w:ascii="Times New Roman" w:hAnsi="Times New Roman" w:eastAsia="Times New Roman" w:cs="Times New Roman"/>
          <w:color w:val="000000"/>
          <w:kern w:val="0"/>
          <w:szCs w:val="21"/>
          <w:lang w:val="zh-CN" w:eastAsia="en-US"/>
        </w:rPr>
        <w:t xml:space="preserve">jointly organized by the China-ASEAN </w:t>
      </w:r>
      <w:bookmarkStart w:id="0" w:name="_GoBack"/>
      <w:bookmarkEnd w:id="0"/>
      <w:r>
        <w:rPr>
          <w:rFonts w:ascii="Times New Roman" w:hAnsi="Times New Roman" w:eastAsia="Times New Roman" w:cs="Times New Roman"/>
          <w:color w:val="000000"/>
          <w:kern w:val="0"/>
          <w:szCs w:val="21"/>
          <w:lang w:val="zh-CN" w:eastAsia="en-US"/>
        </w:rPr>
        <w:t>Technical Education Cooperation Platform (CATECP), the Southeast Asian Ministers of Education Organization Regional Centre for Technical Education Development (SEAMEO TED), and Go Study Global Education, was successfully concluded online</w:t>
      </w:r>
      <w:r>
        <w:rPr>
          <w:rFonts w:hint="default" w:ascii="Times New Roman" w:hAnsi="Times New Roman" w:eastAsia="Times New Roman" w:cs="Times New Roman"/>
          <w:color w:val="000000"/>
          <w:kern w:val="0"/>
          <w:szCs w:val="21"/>
          <w:lang w:val="en-US" w:eastAsia="en-US"/>
        </w:rPr>
        <w:t xml:space="preserve"> with 150 participants from around the world. </w:t>
      </w:r>
    </w:p>
    <w:p w14:paraId="6EDC2D6C">
      <w:pPr>
        <w:widowControl/>
        <w:spacing w:before="100" w:beforeAutospacing="1" w:after="100" w:afterAutospacing="1" w:line="360" w:lineRule="auto"/>
        <w:rPr>
          <w:rFonts w:ascii="Times New Roman" w:hAnsi="Times New Roman" w:eastAsia="Times New Roman" w:cs="Times New Roman"/>
          <w:color w:val="000000"/>
          <w:kern w:val="0"/>
          <w:szCs w:val="21"/>
          <w:lang w:val="zh-CN" w:eastAsia="en-US"/>
        </w:rPr>
      </w:pPr>
      <w:r>
        <w:rPr>
          <w:rFonts w:ascii="Times New Roman" w:hAnsi="Times New Roman" w:eastAsia="Times New Roman" w:cs="Times New Roman"/>
          <w:color w:val="000000"/>
          <w:kern w:val="0"/>
          <w:szCs w:val="21"/>
          <w:lang w:val="zh-CN" w:eastAsia="en-US"/>
        </w:rPr>
        <w:t>Themed “</w:t>
      </w:r>
      <w:r>
        <w:rPr>
          <w:rFonts w:ascii="Times New Roman Bold" w:hAnsi="Times New Roman Bold" w:eastAsia="Times New Roman" w:cs="Times New Roman Bold"/>
          <w:b/>
          <w:bCs/>
          <w:color w:val="000000"/>
          <w:kern w:val="0"/>
          <w:szCs w:val="21"/>
          <w:lang w:val="zh-CN" w:eastAsia="en-US"/>
        </w:rPr>
        <w:t>Digital Storytelling and Cross</w:t>
      </w:r>
      <w:r>
        <w:rPr>
          <w:rFonts w:ascii="Times New Roman Bold" w:hAnsi="Times New Roman Bold" w:eastAsia="SimSun" w:cs="Times New Roman Bold"/>
          <w:b/>
          <w:bCs/>
          <w:color w:val="000000"/>
          <w:kern w:val="0"/>
          <w:szCs w:val="21"/>
        </w:rPr>
        <w:t>-</w:t>
      </w:r>
      <w:r>
        <w:rPr>
          <w:rFonts w:ascii="Times New Roman Bold" w:hAnsi="Times New Roman Bold" w:eastAsia="Times New Roman" w:cs="Times New Roman Bold"/>
          <w:b/>
          <w:bCs/>
          <w:color w:val="000000"/>
          <w:kern w:val="0"/>
          <w:szCs w:val="21"/>
          <w:lang w:val="zh-CN" w:eastAsia="en-US"/>
        </w:rPr>
        <w:t>Cultural Communication</w:t>
      </w:r>
      <w:r>
        <w:rPr>
          <w:rFonts w:ascii="Times New Roman" w:hAnsi="Times New Roman" w:eastAsia="SimSun" w:cs="Times New Roman"/>
          <w:color w:val="000000"/>
          <w:kern w:val="0"/>
          <w:szCs w:val="21"/>
        </w:rPr>
        <w:t>,</w:t>
      </w:r>
      <w:r>
        <w:rPr>
          <w:rFonts w:ascii="Times New Roman" w:hAnsi="Times New Roman" w:eastAsia="Times New Roman" w:cs="Times New Roman"/>
          <w:color w:val="000000"/>
          <w:kern w:val="0"/>
          <w:szCs w:val="21"/>
          <w:lang w:val="zh-CN" w:eastAsia="en-US"/>
        </w:rPr>
        <w:t>” the meeting brought together experts and scholars from China, Thailand, the Philippines, and Indonesia. Discussions focused on digital storytelling, artificial intelligence in education, cross-cultural communication, student engagement, and innovative teaching practices, explored through keynote presentations, case sharing, and interactive exchanges.</w:t>
      </w:r>
    </w:p>
    <w:p w14:paraId="0FC776E8">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drawing>
          <wp:inline distT="0" distB="0" distL="0" distR="0">
            <wp:extent cx="2070100" cy="2924175"/>
            <wp:effectExtent l="0" t="0" r="0" b="0"/>
            <wp:docPr id="23991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17709"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5982" cy="2933019"/>
                    </a:xfrm>
                    <a:prstGeom prst="rect">
                      <a:avLst/>
                    </a:prstGeom>
                  </pic:spPr>
                </pic:pic>
              </a:graphicData>
            </a:graphic>
          </wp:inline>
        </w:drawing>
      </w:r>
    </w:p>
    <w:p w14:paraId="722960B2">
      <w:pPr>
        <w:rPr>
          <w:rFonts w:ascii="Times New Roman" w:hAnsi="Times New Roman" w:cs="Times New Roman"/>
          <w:color w:val="000000" w:themeColor="text1"/>
          <w:szCs w:val="21"/>
          <w14:textFill>
            <w14:solidFill>
              <w14:schemeClr w14:val="tx1"/>
            </w14:solidFill>
          </w14:textFill>
        </w:rPr>
      </w:pPr>
    </w:p>
    <w:p w14:paraId="386F7245">
      <w:pPr>
        <w:jc w:val="center"/>
        <w:rPr>
          <w:rFonts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w:t>
      </w:r>
      <w:r>
        <w:rPr>
          <w:rFonts w:ascii="Times New Roman" w:hAnsi="Times New Roman" w:cs="Times New Roman"/>
          <w:b/>
          <w:bCs/>
          <w:color w:val="000000" w:themeColor="text1"/>
          <w:szCs w:val="21"/>
          <w14:textFill>
            <w14:solidFill>
              <w14:schemeClr w14:val="tx1"/>
            </w14:solidFill>
          </w14:textFill>
        </w:rPr>
        <w:t>Opening Remarks</w:t>
      </w:r>
      <w:r>
        <w:rPr>
          <w:rFonts w:hint="eastAsia" w:ascii="Times New Roman" w:hAnsi="Times New Roman" w:cs="Times New Roman"/>
          <w:b/>
          <w:bCs/>
          <w:color w:val="000000" w:themeColor="text1"/>
          <w:szCs w:val="21"/>
          <w14:textFill>
            <w14:solidFill>
              <w14:schemeClr w14:val="tx1"/>
            </w14:solidFill>
          </w14:textFill>
        </w:rPr>
        <w:t>】</w:t>
      </w:r>
    </w:p>
    <w:p w14:paraId="267F803C">
      <w:pPr>
        <w:widowControl/>
        <w:spacing w:before="100" w:beforeAutospacing="1" w:after="100" w:afterAutospacing="1" w:line="360" w:lineRule="auto"/>
        <w:rPr>
          <w:rFonts w:ascii="Times New Roman" w:hAnsi="Times New Roman" w:eastAsia="Times New Roman" w:cs="Times New Roman"/>
          <w:color w:val="000000"/>
          <w:kern w:val="0"/>
          <w:szCs w:val="21"/>
          <w:lang w:val="zh-CN" w:eastAsia="en-US"/>
        </w:rPr>
      </w:pPr>
      <w:r>
        <w:rPr>
          <w:rFonts w:ascii="Times New Roman" w:hAnsi="Times New Roman" w:eastAsia="Times New Roman" w:cs="Times New Roman"/>
          <w:color w:val="000000"/>
          <w:kern w:val="0"/>
          <w:szCs w:val="21"/>
          <w:lang w:val="zh-CN" w:eastAsia="en-US"/>
        </w:rPr>
        <w:t>The opening remarks were delivered by </w:t>
      </w:r>
      <w:r>
        <w:rPr>
          <w:rFonts w:ascii="Times New Roman" w:hAnsi="Times New Roman" w:eastAsia="Times New Roman" w:cs="Times New Roman"/>
          <w:b/>
          <w:bCs/>
          <w:color w:val="000000"/>
          <w:kern w:val="0"/>
          <w:szCs w:val="21"/>
          <w:lang w:val="zh-CN" w:eastAsia="en-US"/>
        </w:rPr>
        <w:t>Mr. Ravy Voeun</w:t>
      </w:r>
      <w:r>
        <w:rPr>
          <w:rFonts w:ascii="Times New Roman" w:hAnsi="Times New Roman" w:eastAsia="Times New Roman" w:cs="Times New Roman"/>
          <w:color w:val="000000"/>
          <w:kern w:val="0"/>
          <w:szCs w:val="21"/>
          <w:lang w:val="zh-CN" w:eastAsia="en-US"/>
        </w:rPr>
        <w:t>, Vice Head of </w:t>
      </w:r>
      <w:r>
        <w:rPr>
          <w:rFonts w:hint="eastAsia" w:ascii="Times New Roman" w:hAnsi="Times New Roman" w:eastAsia="SimSun" w:cs="Times New Roman"/>
          <w:color w:val="000000"/>
          <w:kern w:val="0"/>
          <w:szCs w:val="21"/>
        </w:rPr>
        <w:t xml:space="preserve">the </w:t>
      </w:r>
      <w:r>
        <w:rPr>
          <w:rFonts w:ascii="Times New Roman" w:hAnsi="Times New Roman" w:eastAsia="Times New Roman" w:cs="Times New Roman"/>
          <w:b/>
          <w:bCs/>
          <w:color w:val="000000"/>
          <w:kern w:val="0"/>
          <w:szCs w:val="21"/>
          <w:lang w:val="zh-CN" w:eastAsia="en-US"/>
        </w:rPr>
        <w:t>Research and Development Division of SEAMEO TED</w:t>
      </w:r>
      <w:r>
        <w:rPr>
          <w:rFonts w:ascii="Times New Roman" w:hAnsi="Times New Roman" w:eastAsia="Times New Roman" w:cs="Times New Roman"/>
          <w:color w:val="000000"/>
          <w:kern w:val="0"/>
          <w:szCs w:val="21"/>
          <w:lang w:val="zh-CN" w:eastAsia="en-US"/>
        </w:rPr>
        <w:t>. In his remarks, he emphasized that the rapid advancement of digital technology and artificial intelligence is reshaping education systems and teaching practices across the region, requiring educators and institutions to continuously adapt and innovate.</w:t>
      </w:r>
    </w:p>
    <w:p w14:paraId="046735FF">
      <w:pPr>
        <w:widowControl/>
        <w:spacing w:before="100" w:beforeAutospacing="1" w:after="100" w:afterAutospacing="1" w:line="360" w:lineRule="auto"/>
        <w:rPr>
          <w:rFonts w:ascii="Times New Roman" w:hAnsi="Times New Roman" w:eastAsia="Times New Roman" w:cs="Times New Roman"/>
          <w:color w:val="000000"/>
          <w:kern w:val="0"/>
          <w:szCs w:val="21"/>
          <w:lang w:val="zh-CN" w:eastAsia="en-US"/>
        </w:rPr>
      </w:pPr>
      <w:r>
        <w:rPr>
          <w:rFonts w:ascii="Times New Roman" w:hAnsi="Times New Roman" w:eastAsia="Times New Roman" w:cs="Times New Roman"/>
          <w:color w:val="000000"/>
          <w:kern w:val="0"/>
          <w:szCs w:val="21"/>
          <w:lang w:val="zh-CN" w:eastAsia="en-US"/>
        </w:rPr>
        <w:t>He further highlighted the importance of </w:t>
      </w:r>
      <w:r>
        <w:rPr>
          <w:rFonts w:ascii="Times New Roman" w:hAnsi="Times New Roman" w:eastAsia="Times New Roman" w:cs="Times New Roman"/>
          <w:b/>
          <w:bCs/>
          <w:color w:val="000000"/>
          <w:kern w:val="0"/>
          <w:szCs w:val="21"/>
          <w:lang w:val="zh-CN" w:eastAsia="en-US"/>
        </w:rPr>
        <w:t>regional cooperation and knowledge sharing</w:t>
      </w:r>
      <w:r>
        <w:rPr>
          <w:rFonts w:ascii="Times New Roman" w:hAnsi="Times New Roman" w:eastAsia="Times New Roman" w:cs="Times New Roman"/>
          <w:color w:val="000000"/>
          <w:kern w:val="0"/>
          <w:szCs w:val="21"/>
          <w:lang w:val="zh-CN" w:eastAsia="en-US"/>
        </w:rPr>
        <w:t xml:space="preserve"> in responding to these changes. Mr. </w:t>
      </w:r>
      <w:r>
        <w:rPr>
          <w:rFonts w:hint="eastAsia" w:ascii="Times New Roman" w:hAnsi="Times New Roman" w:eastAsia="SimSun" w:cs="Times New Roman"/>
          <w:color w:val="000000"/>
          <w:kern w:val="0"/>
          <w:szCs w:val="21"/>
        </w:rPr>
        <w:t>Voeun</w:t>
      </w:r>
      <w:r>
        <w:rPr>
          <w:rFonts w:ascii="Times New Roman" w:hAnsi="Times New Roman" w:eastAsia="Times New Roman" w:cs="Times New Roman"/>
          <w:color w:val="000000"/>
          <w:kern w:val="0"/>
          <w:szCs w:val="21"/>
          <w:lang w:val="zh-CN" w:eastAsia="en-US"/>
        </w:rPr>
        <w:t xml:space="preserve"> encouraged participants to actively engage in the session, exchange experiences, and explore innovative approaches that can support sustainable educational development and capacity building within the region.</w:t>
      </w:r>
    </w:p>
    <w:p w14:paraId="068F33F5">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drawing>
          <wp:inline distT="0" distB="0" distL="0" distR="0">
            <wp:extent cx="2832100" cy="1768475"/>
            <wp:effectExtent l="0" t="0" r="12700" b="9525"/>
            <wp:docPr id="559317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7187"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43952" cy="1776357"/>
                    </a:xfrm>
                    <a:prstGeom prst="rect">
                      <a:avLst/>
                    </a:prstGeom>
                  </pic:spPr>
                </pic:pic>
              </a:graphicData>
            </a:graphic>
          </wp:inline>
        </w:drawing>
      </w:r>
    </w:p>
    <w:p w14:paraId="3EC8F9F2">
      <w:pPr>
        <w:rPr>
          <w:rFonts w:ascii="Times New Roman" w:hAnsi="Times New Roman" w:cs="Times New Roman"/>
          <w:color w:val="000000" w:themeColor="text1"/>
          <w:szCs w:val="21"/>
          <w14:textFill>
            <w14:solidFill>
              <w14:schemeClr w14:val="tx1"/>
            </w14:solidFill>
          </w14:textFill>
        </w:rPr>
      </w:pPr>
    </w:p>
    <w:p w14:paraId="3F299EBE">
      <w:pPr>
        <w:jc w:val="center"/>
        <w:rPr>
          <w:rFonts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w:t>
      </w:r>
      <w:r>
        <w:rPr>
          <w:rFonts w:ascii="Times New Roman" w:hAnsi="Times New Roman" w:cs="Times New Roman"/>
          <w:b/>
          <w:bCs/>
          <w:color w:val="000000" w:themeColor="text1"/>
          <w:szCs w:val="21"/>
          <w14:textFill>
            <w14:solidFill>
              <w14:schemeClr w14:val="tx1"/>
            </w14:solidFill>
          </w14:textFill>
        </w:rPr>
        <w:t>Sharing Session</w:t>
      </w:r>
      <w:r>
        <w:rPr>
          <w:rFonts w:hint="eastAsia" w:ascii="Times New Roman" w:hAnsi="Times New Roman" w:cs="Times New Roman"/>
          <w:b/>
          <w:bCs/>
          <w:color w:val="000000" w:themeColor="text1"/>
          <w:szCs w:val="21"/>
          <w14:textFill>
            <w14:solidFill>
              <w14:schemeClr w14:val="tx1"/>
            </w14:solidFill>
          </w14:textFill>
        </w:rPr>
        <w:t>】</w:t>
      </w:r>
    </w:p>
    <w:p w14:paraId="3ABBB318">
      <w:pPr>
        <w:pStyle w:val="3"/>
        <w:spacing w:line="360" w:lineRule="auto"/>
        <w:jc w:val="both"/>
        <w:rPr>
          <w:rFonts w:hint="default" w:ascii="Times New Roman" w:hAnsi="Times New Roman"/>
          <w:b w:val="0"/>
          <w:color w:val="000000"/>
          <w:sz w:val="21"/>
          <w:szCs w:val="21"/>
        </w:rPr>
      </w:pPr>
      <w:r>
        <w:rPr>
          <w:rStyle w:val="10"/>
          <w:rFonts w:hint="default" w:ascii="Times New Roman" w:hAnsi="Times New Roman"/>
          <w:b w:val="0"/>
          <w:color w:val="000000"/>
          <w:sz w:val="21"/>
          <w:szCs w:val="21"/>
        </w:rPr>
        <w:t>Speaker: Assoc. Prof. Dr. Pattrawut Charoenroop</w:t>
      </w:r>
      <w:r>
        <w:rPr>
          <w:rStyle w:val="10"/>
          <w:rFonts w:hint="default" w:ascii="Times New Roman" w:hAnsi="Times New Roman"/>
          <w:b w:val="0"/>
          <w:color w:val="000000"/>
          <w:sz w:val="21"/>
          <w:szCs w:val="21"/>
        </w:rPr>
        <w:br w:type="textWrapping"/>
      </w:r>
      <w:r>
        <w:rPr>
          <w:rFonts w:hint="default" w:ascii="Times New Roman" w:hAnsi="Times New Roman"/>
          <w:b w:val="0"/>
          <w:color w:val="000000"/>
          <w:sz w:val="21"/>
          <w:szCs w:val="21"/>
        </w:rPr>
        <w:t>National Institute of Development Administration, Thailand</w:t>
      </w:r>
      <w:r>
        <w:rPr>
          <w:rFonts w:hint="default" w:ascii="Times New Roman" w:hAnsi="Times New Roman"/>
          <w:b w:val="0"/>
          <w:color w:val="000000"/>
          <w:sz w:val="21"/>
          <w:szCs w:val="21"/>
        </w:rPr>
        <w:br w:type="textWrapping"/>
      </w:r>
      <w:r>
        <w:rPr>
          <w:rStyle w:val="10"/>
          <w:rFonts w:hint="default" w:ascii="Times New Roman" w:hAnsi="Times New Roman"/>
          <w:b w:val="0"/>
          <w:color w:val="000000"/>
          <w:sz w:val="21"/>
          <w:szCs w:val="21"/>
        </w:rPr>
        <w:t>Topic: Speaking Across Cultures Through Digital Storytelling</w:t>
      </w:r>
    </w:p>
    <w:p w14:paraId="4DD271EA">
      <w:pPr>
        <w:pStyle w:val="9"/>
        <w:spacing w:line="360" w:lineRule="auto"/>
        <w:jc w:val="both"/>
        <w:rPr>
          <w:rFonts w:ascii="Times New Roman" w:hAnsi="Times New Roman"/>
          <w:bCs/>
          <w:color w:val="000000"/>
          <w:sz w:val="21"/>
          <w:szCs w:val="21"/>
        </w:rPr>
      </w:pPr>
      <w:r>
        <w:rPr>
          <w:rFonts w:ascii="Times New Roman" w:hAnsi="Times New Roman"/>
          <w:bCs/>
          <w:color w:val="000000"/>
          <w:sz w:val="21"/>
          <w:szCs w:val="21"/>
        </w:rPr>
        <w:t>Dr. Pattrawut Charoenroop presented digital storytelling as an effective teaching method for developing cross-cultural communication skills.</w:t>
      </w:r>
      <w:r>
        <w:rPr>
          <w:rFonts w:hint="eastAsia" w:ascii="Times New Roman" w:hAnsi="Times New Roman"/>
          <w:bCs/>
          <w:color w:val="000000"/>
          <w:sz w:val="21"/>
          <w:szCs w:val="21"/>
        </w:rPr>
        <w:t xml:space="preserve"> </w:t>
      </w:r>
      <w:r>
        <w:rPr>
          <w:rFonts w:ascii="Times New Roman" w:hAnsi="Times New Roman"/>
          <w:bCs/>
          <w:color w:val="000000"/>
          <w:sz w:val="21"/>
          <w:szCs w:val="21"/>
        </w:rPr>
        <w:t>By combining narrative structures with multimedia elements such as images, audio, and video, digital storytelling helps learners express ideas in more engaging and meaningful ways. He noted that storytelling has always played a vital role in education, and digital tools further enhance its potential by fostering creativity, self-expression, and active learner participation. Incorporating cultural themes into storytelling activities enables students to reflect on their own identities while gaining awareness of diverse cultural perspectives.</w:t>
      </w:r>
    </w:p>
    <w:p w14:paraId="1D6901D1">
      <w:pPr>
        <w:pStyle w:val="9"/>
        <w:spacing w:line="360" w:lineRule="auto"/>
        <w:jc w:val="both"/>
        <w:rPr>
          <w:rFonts w:ascii="Times New Roman" w:hAnsi="Times New Roman"/>
          <w:bCs/>
          <w:color w:val="000000"/>
          <w:sz w:val="21"/>
          <w:szCs w:val="21"/>
        </w:rPr>
      </w:pPr>
      <w:r>
        <w:rPr>
          <w:rFonts w:hint="eastAsia" w:ascii="Times New Roman" w:hAnsi="Times New Roman"/>
          <w:bCs/>
          <w:color w:val="000000"/>
          <w:sz w:val="21"/>
          <w:szCs w:val="21"/>
        </w:rPr>
        <w:t>Furthermore</w:t>
      </w:r>
      <w:r>
        <w:rPr>
          <w:rFonts w:ascii="Times New Roman" w:hAnsi="Times New Roman"/>
          <w:bCs/>
          <w:color w:val="000000"/>
          <w:sz w:val="21"/>
          <w:szCs w:val="21"/>
        </w:rPr>
        <w:t xml:space="preserve">, Dr. </w:t>
      </w:r>
      <w:r>
        <w:rPr>
          <w:rFonts w:hint="eastAsia" w:ascii="Times New Roman" w:hAnsi="Times New Roman"/>
          <w:bCs/>
          <w:color w:val="000000"/>
          <w:sz w:val="21"/>
          <w:szCs w:val="21"/>
        </w:rPr>
        <w:t>Charoenroop</w:t>
      </w:r>
      <w:r>
        <w:rPr>
          <w:rFonts w:ascii="Times New Roman" w:hAnsi="Times New Roman"/>
          <w:bCs/>
          <w:color w:val="000000"/>
          <w:sz w:val="21"/>
          <w:szCs w:val="21"/>
        </w:rPr>
        <w:t xml:space="preserve"> emphasized that digital storytelling supports language development, critical thinking, and audience awareness, as students learn to structure ideas clearly and consider cultural contexts in communication. </w:t>
      </w:r>
      <w:r>
        <w:rPr>
          <w:rFonts w:hint="eastAsia" w:ascii="Times New Roman" w:hAnsi="Times New Roman"/>
          <w:bCs/>
          <w:color w:val="000000"/>
          <w:sz w:val="21"/>
          <w:szCs w:val="21"/>
        </w:rPr>
        <w:t>T</w:t>
      </w:r>
      <w:r>
        <w:rPr>
          <w:rFonts w:ascii="Times New Roman" w:hAnsi="Times New Roman"/>
          <w:bCs/>
          <w:color w:val="000000"/>
          <w:sz w:val="21"/>
          <w:szCs w:val="21"/>
        </w:rPr>
        <w:t>he presentation illustrated how digital storytelling can strengthen people-to-people connections</w:t>
      </w:r>
      <w:r>
        <w:rPr>
          <w:rFonts w:hint="eastAsia" w:ascii="Times New Roman" w:hAnsi="Times New Roman"/>
          <w:bCs/>
          <w:color w:val="000000"/>
          <w:sz w:val="21"/>
          <w:szCs w:val="21"/>
        </w:rPr>
        <w:t xml:space="preserve">, </w:t>
      </w:r>
      <w:r>
        <w:rPr>
          <w:rFonts w:ascii="Times New Roman" w:hAnsi="Times New Roman"/>
          <w:bCs/>
          <w:color w:val="000000"/>
          <w:sz w:val="21"/>
          <w:szCs w:val="21"/>
        </w:rPr>
        <w:t>promote intercultural understanding,</w:t>
      </w:r>
      <w:r>
        <w:rPr>
          <w:rFonts w:hint="eastAsia" w:ascii="Times New Roman" w:hAnsi="Times New Roman"/>
          <w:bCs/>
          <w:color w:val="000000"/>
          <w:sz w:val="21"/>
          <w:szCs w:val="21"/>
        </w:rPr>
        <w:t xml:space="preserve"> and </w:t>
      </w:r>
      <w:r>
        <w:rPr>
          <w:rFonts w:ascii="Times New Roman" w:hAnsi="Times New Roman"/>
          <w:bCs/>
          <w:color w:val="000000"/>
          <w:sz w:val="21"/>
          <w:szCs w:val="21"/>
        </w:rPr>
        <w:t>advance educational collaboration and cross-cultural communication across the region.</w:t>
      </w:r>
    </w:p>
    <w:p w14:paraId="6077604D">
      <w:pPr>
        <w:pStyle w:val="9"/>
        <w:jc w:val="both"/>
        <w:rPr>
          <w:rFonts w:ascii="Times New Roman" w:hAnsi="Times New Roman"/>
          <w:bCs/>
          <w:color w:val="000000"/>
          <w:sz w:val="21"/>
          <w:szCs w:val="21"/>
        </w:rPr>
      </w:pPr>
    </w:p>
    <w:p w14:paraId="5EB65EB6">
      <w:pPr>
        <w:pStyle w:val="3"/>
        <w:jc w:val="center"/>
        <w:rPr>
          <w:rStyle w:val="10"/>
          <w:rFonts w:hint="default" w:ascii="Times New Roman" w:hAnsi="Times New Roman"/>
          <w:b w:val="0"/>
          <w:color w:val="000000"/>
          <w:sz w:val="21"/>
          <w:szCs w:val="21"/>
        </w:rPr>
      </w:pPr>
      <w:r>
        <w:rPr>
          <w:rStyle w:val="10"/>
          <w:rFonts w:ascii="Times New Roman" w:hAnsi="Times New Roman"/>
          <w:b w:val="0"/>
          <w:color w:val="000000"/>
          <w:sz w:val="21"/>
          <w:szCs w:val="21"/>
        </w:rPr>
        <w:drawing>
          <wp:inline distT="0" distB="0" distL="114300" distR="114300">
            <wp:extent cx="3302000" cy="2147570"/>
            <wp:effectExtent l="0" t="0" r="0" b="11430"/>
            <wp:docPr id="1" name="图片 1" descr="Speech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peech 02"/>
                    <pic:cNvPicPr>
                      <a:picLocks noChangeAspect="1"/>
                    </pic:cNvPicPr>
                  </pic:nvPicPr>
                  <pic:blipFill>
                    <a:blip r:embed="rId7"/>
                    <a:stretch>
                      <a:fillRect/>
                    </a:stretch>
                  </pic:blipFill>
                  <pic:spPr>
                    <a:xfrm>
                      <a:off x="0" y="0"/>
                      <a:ext cx="3302000" cy="2147570"/>
                    </a:xfrm>
                    <a:prstGeom prst="rect">
                      <a:avLst/>
                    </a:prstGeom>
                  </pic:spPr>
                </pic:pic>
              </a:graphicData>
            </a:graphic>
          </wp:inline>
        </w:drawing>
      </w:r>
    </w:p>
    <w:p w14:paraId="155C45CF">
      <w:pPr>
        <w:pStyle w:val="3"/>
        <w:spacing w:line="360" w:lineRule="auto"/>
        <w:jc w:val="both"/>
        <w:rPr>
          <w:rFonts w:hint="default" w:ascii="Times New Roman" w:hAnsi="Times New Roman"/>
          <w:b w:val="0"/>
          <w:color w:val="000000"/>
          <w:sz w:val="21"/>
          <w:szCs w:val="21"/>
        </w:rPr>
      </w:pPr>
      <w:r>
        <w:rPr>
          <w:rStyle w:val="10"/>
          <w:rFonts w:hint="default" w:ascii="Times New Roman" w:hAnsi="Times New Roman"/>
          <w:b w:val="0"/>
          <w:color w:val="000000"/>
          <w:sz w:val="21"/>
          <w:szCs w:val="21"/>
        </w:rPr>
        <w:t>Speaker: Dr. Christian Ray Licen</w:t>
      </w:r>
      <w:r>
        <w:rPr>
          <w:rStyle w:val="10"/>
          <w:rFonts w:hint="default" w:ascii="Times New Roman" w:hAnsi="Times New Roman"/>
          <w:b w:val="0"/>
          <w:color w:val="000000"/>
          <w:sz w:val="21"/>
          <w:szCs w:val="21"/>
        </w:rPr>
        <w:br w:type="textWrapping"/>
      </w:r>
      <w:r>
        <w:rPr>
          <w:rFonts w:hint="default" w:ascii="Times New Roman" w:hAnsi="Times New Roman"/>
          <w:b w:val="0"/>
          <w:color w:val="000000"/>
          <w:sz w:val="21"/>
          <w:szCs w:val="21"/>
        </w:rPr>
        <w:t>Cebu Technological University, The Philippines</w:t>
      </w:r>
      <w:r>
        <w:rPr>
          <w:rFonts w:hint="default" w:ascii="Times New Roman" w:hAnsi="Times New Roman"/>
          <w:b w:val="0"/>
          <w:color w:val="000000"/>
          <w:sz w:val="21"/>
          <w:szCs w:val="21"/>
        </w:rPr>
        <w:br w:type="textWrapping"/>
      </w:r>
      <w:r>
        <w:rPr>
          <w:rStyle w:val="10"/>
          <w:rFonts w:hint="default" w:ascii="Times New Roman" w:hAnsi="Times New Roman"/>
          <w:b w:val="0"/>
          <w:color w:val="000000"/>
          <w:sz w:val="21"/>
          <w:szCs w:val="21"/>
        </w:rPr>
        <w:t>Topic: Enhancing Student Engagement Through Innovative and Technology-Supported Learning</w:t>
      </w:r>
    </w:p>
    <w:p w14:paraId="0FEED9F0">
      <w:pPr>
        <w:pStyle w:val="9"/>
        <w:spacing w:line="360" w:lineRule="auto"/>
        <w:jc w:val="both"/>
        <w:rPr>
          <w:rFonts w:ascii="Times New Roman" w:hAnsi="Times New Roman"/>
          <w:bCs/>
          <w:color w:val="000000"/>
          <w:sz w:val="21"/>
          <w:szCs w:val="21"/>
        </w:rPr>
      </w:pPr>
      <w:r>
        <w:rPr>
          <w:rFonts w:hint="eastAsia" w:ascii="Times New Roman" w:hAnsi="Times New Roman"/>
          <w:bCs/>
          <w:color w:val="000000"/>
          <w:sz w:val="21"/>
          <w:szCs w:val="21"/>
        </w:rPr>
        <w:t>Dr. Christian Ray Licen highlighted the critical importance of student engagement in achieving effective learning outcomes. He explained that contemporary learners increasingly need interactive and participatory learning environments, particularly in technology-enhanced contexts. His presentation discussed a variety of technology-supported strategies designed to promote active learning, collaboration, and learner autonomy. When used purposefully, digital platforms and interactive tools can transform students from passive recipients of information into active contributors to the learning process.</w:t>
      </w:r>
    </w:p>
    <w:p w14:paraId="592B8774">
      <w:pPr>
        <w:pStyle w:val="9"/>
        <w:spacing w:line="360" w:lineRule="auto"/>
        <w:jc w:val="both"/>
        <w:rPr>
          <w:rFonts w:ascii="Times New Roman" w:hAnsi="Times New Roman"/>
          <w:bCs/>
          <w:color w:val="000000"/>
          <w:sz w:val="21"/>
          <w:szCs w:val="21"/>
        </w:rPr>
      </w:pPr>
      <w:r>
        <w:rPr>
          <w:rFonts w:hint="eastAsia" w:ascii="Times New Roman" w:hAnsi="Times New Roman"/>
          <w:bCs/>
          <w:color w:val="000000"/>
          <w:sz w:val="21"/>
          <w:szCs w:val="21"/>
        </w:rPr>
        <w:t>Dr. Licen further emphasized the role of instructional design, noting that educational technologies should be aligned with clear learning objectives. Educators play a vital role in guiding students to engage meaningfully with digital content rather than simply consuming information.</w:t>
      </w:r>
    </w:p>
    <w:p w14:paraId="75F860FA">
      <w:pPr>
        <w:pStyle w:val="9"/>
        <w:jc w:val="center"/>
        <w:rPr>
          <w:rFonts w:ascii="Times New Roman" w:hAnsi="Times New Roman"/>
          <w:bCs/>
          <w:color w:val="000000"/>
          <w:sz w:val="21"/>
          <w:szCs w:val="21"/>
        </w:rPr>
      </w:pPr>
      <w:r>
        <w:rPr>
          <w:rFonts w:hint="eastAsia" w:ascii="Times New Roman" w:hAnsi="Times New Roman"/>
          <w:bCs/>
          <w:color w:val="000000"/>
          <w:sz w:val="21"/>
          <w:szCs w:val="21"/>
        </w:rPr>
        <w:drawing>
          <wp:inline distT="0" distB="0" distL="114300" distR="114300">
            <wp:extent cx="3331845" cy="2167255"/>
            <wp:effectExtent l="0" t="0" r="20955" b="17145"/>
            <wp:docPr id="2" name="图片 2" descr="Speec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peech 11"/>
                    <pic:cNvPicPr>
                      <a:picLocks noChangeAspect="1"/>
                    </pic:cNvPicPr>
                  </pic:nvPicPr>
                  <pic:blipFill>
                    <a:blip r:embed="rId8"/>
                    <a:stretch>
                      <a:fillRect/>
                    </a:stretch>
                  </pic:blipFill>
                  <pic:spPr>
                    <a:xfrm>
                      <a:off x="0" y="0"/>
                      <a:ext cx="3331845" cy="2167255"/>
                    </a:xfrm>
                    <a:prstGeom prst="rect">
                      <a:avLst/>
                    </a:prstGeom>
                  </pic:spPr>
                </pic:pic>
              </a:graphicData>
            </a:graphic>
          </wp:inline>
        </w:drawing>
      </w:r>
    </w:p>
    <w:p w14:paraId="54AD4FFA">
      <w:pPr>
        <w:pStyle w:val="3"/>
        <w:spacing w:line="360" w:lineRule="auto"/>
        <w:jc w:val="both"/>
        <w:rPr>
          <w:rFonts w:hint="default" w:ascii="Times New Roman" w:hAnsi="Times New Roman"/>
          <w:b w:val="0"/>
          <w:color w:val="000000"/>
          <w:sz w:val="21"/>
          <w:szCs w:val="21"/>
        </w:rPr>
      </w:pPr>
      <w:r>
        <w:rPr>
          <w:rStyle w:val="10"/>
          <w:rFonts w:hint="default" w:ascii="Times New Roman" w:hAnsi="Times New Roman"/>
          <w:b w:val="0"/>
          <w:color w:val="000000"/>
          <w:sz w:val="21"/>
          <w:szCs w:val="21"/>
        </w:rPr>
        <w:t>Speaker: Dr. L</w:t>
      </w:r>
      <w:r>
        <w:rPr>
          <w:rStyle w:val="10"/>
          <w:rFonts w:ascii="Times New Roman" w:hAnsi="Times New Roman"/>
          <w:b w:val="0"/>
          <w:color w:val="000000"/>
          <w:sz w:val="21"/>
          <w:szCs w:val="21"/>
        </w:rPr>
        <w:t>iu</w:t>
      </w:r>
      <w:r>
        <w:rPr>
          <w:rStyle w:val="10"/>
          <w:rFonts w:hint="default" w:ascii="Times New Roman" w:hAnsi="Times New Roman"/>
          <w:b w:val="0"/>
          <w:color w:val="000000"/>
          <w:sz w:val="21"/>
          <w:szCs w:val="21"/>
        </w:rPr>
        <w:t xml:space="preserve"> Guizhen</w:t>
      </w:r>
      <w:r>
        <w:rPr>
          <w:rStyle w:val="10"/>
          <w:rFonts w:hint="default" w:ascii="Times New Roman" w:hAnsi="Times New Roman"/>
          <w:b w:val="0"/>
          <w:color w:val="000000"/>
          <w:sz w:val="21"/>
          <w:szCs w:val="21"/>
        </w:rPr>
        <w:br w:type="textWrapping"/>
      </w:r>
      <w:r>
        <w:rPr>
          <w:rFonts w:hint="default" w:ascii="Times New Roman" w:hAnsi="Times New Roman"/>
          <w:b w:val="0"/>
          <w:color w:val="000000"/>
          <w:sz w:val="21"/>
          <w:szCs w:val="21"/>
        </w:rPr>
        <w:t>Guangzhou Nan</w:t>
      </w:r>
      <w:r>
        <w:rPr>
          <w:rFonts w:ascii="Times New Roman" w:hAnsi="Times New Roman"/>
          <w:b w:val="0"/>
          <w:color w:val="000000"/>
          <w:sz w:val="21"/>
          <w:szCs w:val="21"/>
        </w:rPr>
        <w:t>f</w:t>
      </w:r>
      <w:r>
        <w:rPr>
          <w:rFonts w:hint="default" w:ascii="Times New Roman" w:hAnsi="Times New Roman"/>
          <w:b w:val="0"/>
          <w:color w:val="000000"/>
          <w:sz w:val="21"/>
          <w:szCs w:val="21"/>
        </w:rPr>
        <w:t>ang College, China</w:t>
      </w:r>
      <w:r>
        <w:rPr>
          <w:rFonts w:hint="default" w:ascii="Times New Roman" w:hAnsi="Times New Roman"/>
          <w:b w:val="0"/>
          <w:color w:val="000000"/>
          <w:sz w:val="21"/>
          <w:szCs w:val="21"/>
        </w:rPr>
        <w:br w:type="textWrapping"/>
      </w:r>
      <w:r>
        <w:rPr>
          <w:rStyle w:val="10"/>
          <w:rFonts w:hint="default" w:ascii="Times New Roman" w:hAnsi="Times New Roman"/>
          <w:b w:val="0"/>
          <w:color w:val="000000"/>
          <w:sz w:val="21"/>
          <w:szCs w:val="21"/>
        </w:rPr>
        <w:t>Topic: Artificial Intelligence and Its Application in Modern Education</w:t>
      </w:r>
    </w:p>
    <w:p w14:paraId="17E21F16">
      <w:pPr>
        <w:pStyle w:val="9"/>
        <w:spacing w:line="360" w:lineRule="auto"/>
        <w:jc w:val="both"/>
        <w:rPr>
          <w:rFonts w:ascii="Times New Roman" w:hAnsi="Times New Roman"/>
          <w:bCs/>
          <w:color w:val="000000"/>
          <w:sz w:val="21"/>
          <w:szCs w:val="21"/>
        </w:rPr>
      </w:pPr>
      <w:r>
        <w:rPr>
          <w:rFonts w:ascii="Times New Roman" w:hAnsi="Times New Roman"/>
          <w:bCs/>
          <w:color w:val="000000"/>
          <w:sz w:val="21"/>
          <w:szCs w:val="21"/>
        </w:rPr>
        <w:t>Dr. Liu Guizhen presented an overview of the growing application of</w:t>
      </w:r>
      <w:r>
        <w:rPr>
          <w:rStyle w:val="11"/>
          <w:rFonts w:ascii="Times New Roman" w:hAnsi="Times New Roman"/>
          <w:bCs/>
          <w:color w:val="000000"/>
          <w:sz w:val="21"/>
          <w:szCs w:val="21"/>
        </w:rPr>
        <w:t> </w:t>
      </w:r>
      <w:r>
        <w:rPr>
          <w:rStyle w:val="10"/>
          <w:rFonts w:ascii="Times New Roman" w:hAnsi="Times New Roman"/>
          <w:b w:val="0"/>
          <w:bCs/>
          <w:color w:val="000000"/>
          <w:sz w:val="21"/>
          <w:szCs w:val="21"/>
        </w:rPr>
        <w:t>artificial intelligence (AI)</w:t>
      </w:r>
      <w:r>
        <w:rPr>
          <w:rStyle w:val="11"/>
          <w:rFonts w:ascii="Times New Roman" w:hAnsi="Times New Roman"/>
          <w:bCs/>
          <w:color w:val="000000"/>
          <w:sz w:val="21"/>
          <w:szCs w:val="21"/>
        </w:rPr>
        <w:t> </w:t>
      </w:r>
      <w:r>
        <w:rPr>
          <w:rFonts w:ascii="Times New Roman" w:hAnsi="Times New Roman"/>
          <w:bCs/>
          <w:color w:val="000000"/>
          <w:sz w:val="21"/>
          <w:szCs w:val="21"/>
        </w:rPr>
        <w:t>in education. She explained how AI technologies are increasingly used for personalized learning, adaptive assessment, and academic support, enabling more data-informed teaching practices.</w:t>
      </w:r>
      <w:r>
        <w:rPr>
          <w:rFonts w:hint="eastAsia" w:ascii="Times New Roman" w:hAnsi="Times New Roman"/>
          <w:bCs/>
          <w:color w:val="000000"/>
          <w:sz w:val="21"/>
          <w:szCs w:val="21"/>
        </w:rPr>
        <w:t xml:space="preserve"> </w:t>
      </w:r>
      <w:r>
        <w:rPr>
          <w:rFonts w:ascii="Times New Roman" w:hAnsi="Times New Roman"/>
          <w:bCs/>
          <w:color w:val="000000"/>
          <w:sz w:val="21"/>
          <w:szCs w:val="21"/>
        </w:rPr>
        <w:t>She highlighted that AI-powered systems allow educators to better understand student learning patterns and provide targeted feedback. Such applications help address diverse learning needs and improve learning efficiency.</w:t>
      </w:r>
    </w:p>
    <w:p w14:paraId="58CF4CBB">
      <w:pPr>
        <w:pStyle w:val="9"/>
        <w:spacing w:line="360" w:lineRule="auto"/>
        <w:jc w:val="both"/>
        <w:rPr>
          <w:rFonts w:ascii="Times New Roman" w:hAnsi="Times New Roman"/>
          <w:bCs/>
          <w:color w:val="000000"/>
          <w:sz w:val="21"/>
          <w:szCs w:val="21"/>
        </w:rPr>
      </w:pPr>
      <w:r>
        <w:rPr>
          <w:rFonts w:ascii="Times New Roman" w:hAnsi="Times New Roman"/>
          <w:bCs/>
          <w:color w:val="000000"/>
          <w:sz w:val="21"/>
          <w:szCs w:val="21"/>
        </w:rPr>
        <w:t>At the same time, Dr. Liu emphasized the importance of</w:t>
      </w:r>
      <w:r>
        <w:rPr>
          <w:rStyle w:val="11"/>
          <w:rFonts w:ascii="Times New Roman" w:hAnsi="Times New Roman"/>
          <w:bCs/>
          <w:color w:val="000000"/>
          <w:sz w:val="21"/>
          <w:szCs w:val="21"/>
        </w:rPr>
        <w:t> </w:t>
      </w:r>
      <w:r>
        <w:rPr>
          <w:rStyle w:val="10"/>
          <w:rFonts w:ascii="Times New Roman" w:hAnsi="Times New Roman"/>
          <w:b w:val="0"/>
          <w:bCs/>
          <w:color w:val="000000"/>
          <w:sz w:val="21"/>
          <w:szCs w:val="21"/>
        </w:rPr>
        <w:t>ethical considerations and responsible AI use</w:t>
      </w:r>
      <w:r>
        <w:rPr>
          <w:rFonts w:ascii="Times New Roman" w:hAnsi="Times New Roman"/>
          <w:bCs/>
          <w:color w:val="000000"/>
          <w:sz w:val="21"/>
          <w:szCs w:val="21"/>
        </w:rPr>
        <w:t>. She cautioned that technology should support, rather than replace, human judgment, creativity, and critical thinking in education.</w:t>
      </w:r>
      <w:r>
        <w:rPr>
          <w:rFonts w:hint="eastAsia" w:ascii="Times New Roman" w:hAnsi="Times New Roman"/>
          <w:bCs/>
          <w:color w:val="000000"/>
          <w:sz w:val="21"/>
          <w:szCs w:val="21"/>
        </w:rPr>
        <w:t xml:space="preserve"> H</w:t>
      </w:r>
      <w:r>
        <w:rPr>
          <w:rFonts w:ascii="Times New Roman" w:hAnsi="Times New Roman"/>
          <w:bCs/>
          <w:color w:val="000000"/>
          <w:sz w:val="21"/>
          <w:szCs w:val="21"/>
        </w:rPr>
        <w:t>er presentation highlighted the role of AI as a strategic tool for advancing educational innovation and digital transformation. Responsible AI integration supports sustainable, inclusive, and future-oriented approaches to education development.</w:t>
      </w:r>
    </w:p>
    <w:p w14:paraId="23BF958D">
      <w:pPr>
        <w:pStyle w:val="9"/>
        <w:jc w:val="center"/>
        <w:rPr>
          <w:rFonts w:ascii="Times New Roman" w:hAnsi="Times New Roman"/>
          <w:bCs/>
          <w:color w:val="000000"/>
          <w:sz w:val="21"/>
          <w:szCs w:val="21"/>
        </w:rPr>
      </w:pPr>
      <w:r>
        <w:rPr>
          <w:rFonts w:hint="eastAsia" w:ascii="Times New Roman" w:hAnsi="Times New Roman"/>
          <w:bCs/>
          <w:color w:val="000000"/>
          <w:sz w:val="21"/>
          <w:szCs w:val="21"/>
        </w:rPr>
        <w:drawing>
          <wp:inline distT="0" distB="0" distL="114300" distR="114300">
            <wp:extent cx="3422650" cy="2226310"/>
            <wp:effectExtent l="0" t="0" r="6350" b="8890"/>
            <wp:docPr id="3" name="图片 3" descr="分享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分享 2"/>
                    <pic:cNvPicPr>
                      <a:picLocks noChangeAspect="1"/>
                    </pic:cNvPicPr>
                  </pic:nvPicPr>
                  <pic:blipFill>
                    <a:blip r:embed="rId9"/>
                    <a:stretch>
                      <a:fillRect/>
                    </a:stretch>
                  </pic:blipFill>
                  <pic:spPr>
                    <a:xfrm>
                      <a:off x="0" y="0"/>
                      <a:ext cx="3422650" cy="2226310"/>
                    </a:xfrm>
                    <a:prstGeom prst="rect">
                      <a:avLst/>
                    </a:prstGeom>
                  </pic:spPr>
                </pic:pic>
              </a:graphicData>
            </a:graphic>
          </wp:inline>
        </w:drawing>
      </w:r>
    </w:p>
    <w:p w14:paraId="07D9001E">
      <w:pPr>
        <w:pStyle w:val="3"/>
        <w:jc w:val="both"/>
        <w:rPr>
          <w:rStyle w:val="10"/>
          <w:rFonts w:hint="default" w:ascii="Times New Roman" w:hAnsi="Times New Roman"/>
          <w:b w:val="0"/>
          <w:color w:val="000000"/>
          <w:sz w:val="21"/>
          <w:szCs w:val="21"/>
        </w:rPr>
      </w:pPr>
    </w:p>
    <w:p w14:paraId="2AE633B9">
      <w:pPr>
        <w:pStyle w:val="3"/>
        <w:spacing w:line="360" w:lineRule="auto"/>
        <w:jc w:val="both"/>
        <w:rPr>
          <w:rFonts w:hint="default" w:ascii="Times New Roman" w:hAnsi="Times New Roman"/>
          <w:b w:val="0"/>
          <w:color w:val="000000"/>
          <w:sz w:val="21"/>
          <w:szCs w:val="21"/>
        </w:rPr>
      </w:pPr>
      <w:r>
        <w:rPr>
          <w:rStyle w:val="10"/>
          <w:rFonts w:hint="default" w:ascii="Times New Roman" w:hAnsi="Times New Roman"/>
          <w:b w:val="0"/>
          <w:color w:val="000000"/>
          <w:sz w:val="21"/>
          <w:szCs w:val="21"/>
        </w:rPr>
        <w:t>Speaker: Dr. M. Ridha Ajam</w:t>
      </w:r>
      <w:r>
        <w:rPr>
          <w:rStyle w:val="10"/>
          <w:rFonts w:hint="default" w:ascii="Times New Roman" w:hAnsi="Times New Roman"/>
          <w:b w:val="0"/>
          <w:color w:val="000000"/>
          <w:sz w:val="21"/>
          <w:szCs w:val="21"/>
        </w:rPr>
        <w:br w:type="textWrapping"/>
      </w:r>
      <w:r>
        <w:rPr>
          <w:rFonts w:hint="default" w:ascii="Times New Roman" w:hAnsi="Times New Roman"/>
          <w:b w:val="0"/>
          <w:color w:val="000000"/>
          <w:sz w:val="21"/>
          <w:szCs w:val="21"/>
        </w:rPr>
        <w:t>Khairun University, Indonesia</w:t>
      </w:r>
      <w:r>
        <w:rPr>
          <w:rFonts w:hint="default" w:ascii="Times New Roman" w:hAnsi="Times New Roman"/>
          <w:b w:val="0"/>
          <w:color w:val="000000"/>
          <w:sz w:val="21"/>
          <w:szCs w:val="21"/>
        </w:rPr>
        <w:br w:type="textWrapping"/>
      </w:r>
      <w:r>
        <w:rPr>
          <w:rStyle w:val="10"/>
          <w:rFonts w:hint="default" w:ascii="Times New Roman" w:hAnsi="Times New Roman"/>
          <w:b w:val="0"/>
          <w:color w:val="000000"/>
          <w:sz w:val="21"/>
          <w:szCs w:val="21"/>
        </w:rPr>
        <w:t>Topic: Integrating Digital Innovation into Higher Education Learning Practices</w:t>
      </w:r>
    </w:p>
    <w:p w14:paraId="5C5B1C38">
      <w:pPr>
        <w:pStyle w:val="9"/>
        <w:spacing w:line="360" w:lineRule="auto"/>
        <w:jc w:val="both"/>
        <w:rPr>
          <w:rFonts w:ascii="Times New Roman" w:hAnsi="Times New Roman"/>
          <w:bCs/>
          <w:color w:val="000000"/>
          <w:sz w:val="21"/>
          <w:szCs w:val="21"/>
        </w:rPr>
      </w:pPr>
      <w:r>
        <w:rPr>
          <w:rFonts w:ascii="Times New Roman" w:hAnsi="Times New Roman"/>
          <w:bCs/>
          <w:color w:val="000000"/>
          <w:sz w:val="21"/>
          <w:szCs w:val="21"/>
        </w:rPr>
        <w:t>Dr. M. Ridha Ajam shared experiences on integrating</w:t>
      </w:r>
      <w:r>
        <w:rPr>
          <w:rStyle w:val="11"/>
          <w:rFonts w:ascii="Times New Roman" w:hAnsi="Times New Roman"/>
          <w:bCs/>
          <w:color w:val="000000"/>
          <w:sz w:val="21"/>
          <w:szCs w:val="21"/>
        </w:rPr>
        <w:t> </w:t>
      </w:r>
      <w:r>
        <w:rPr>
          <w:rStyle w:val="10"/>
          <w:rFonts w:ascii="Times New Roman" w:hAnsi="Times New Roman"/>
          <w:b w:val="0"/>
          <w:bCs/>
          <w:color w:val="000000"/>
          <w:sz w:val="21"/>
          <w:szCs w:val="21"/>
        </w:rPr>
        <w:t>digital innovation</w:t>
      </w:r>
      <w:r>
        <w:rPr>
          <w:rStyle w:val="11"/>
          <w:rFonts w:ascii="Times New Roman" w:hAnsi="Times New Roman"/>
          <w:bCs/>
          <w:color w:val="000000"/>
          <w:sz w:val="21"/>
          <w:szCs w:val="21"/>
        </w:rPr>
        <w:t> </w:t>
      </w:r>
      <w:r>
        <w:rPr>
          <w:rFonts w:ascii="Times New Roman" w:hAnsi="Times New Roman"/>
          <w:bCs/>
          <w:color w:val="000000"/>
          <w:sz w:val="21"/>
          <w:szCs w:val="21"/>
        </w:rPr>
        <w:t>into higher education teaching and learning. He discussed the growing adoption of blended learning models and digital platforms to enhance flexibility and accessibility.</w:t>
      </w:r>
      <w:r>
        <w:rPr>
          <w:rFonts w:hint="eastAsia" w:ascii="Times New Roman" w:hAnsi="Times New Roman"/>
          <w:bCs/>
          <w:color w:val="000000"/>
          <w:sz w:val="21"/>
          <w:szCs w:val="21"/>
        </w:rPr>
        <w:t xml:space="preserve"> </w:t>
      </w:r>
      <w:r>
        <w:rPr>
          <w:rFonts w:ascii="Times New Roman" w:hAnsi="Times New Roman"/>
          <w:bCs/>
          <w:color w:val="000000"/>
          <w:sz w:val="21"/>
          <w:szCs w:val="21"/>
        </w:rPr>
        <w:t>He</w:t>
      </w:r>
      <w:r>
        <w:rPr>
          <w:rFonts w:hint="eastAsia" w:ascii="Times New Roman" w:hAnsi="Times New Roman"/>
          <w:bCs/>
          <w:color w:val="000000"/>
          <w:sz w:val="21"/>
          <w:szCs w:val="21"/>
        </w:rPr>
        <w:t xml:space="preserve"> </w:t>
      </w:r>
      <w:r>
        <w:rPr>
          <w:rFonts w:ascii="Times New Roman" w:hAnsi="Times New Roman"/>
          <w:bCs/>
          <w:color w:val="000000"/>
          <w:sz w:val="21"/>
          <w:szCs w:val="21"/>
        </w:rPr>
        <w:t>emphasized that effective digital transformation requires alignment between technology, pedagogy, and institutional readiness. Simply adopting digital tools without clear instructional planning may limit their educational impact.</w:t>
      </w:r>
    </w:p>
    <w:p w14:paraId="2E566C48">
      <w:pPr>
        <w:pStyle w:val="9"/>
        <w:spacing w:line="360" w:lineRule="auto"/>
        <w:jc w:val="both"/>
        <w:rPr>
          <w:rFonts w:ascii="Times New Roman" w:hAnsi="Times New Roman"/>
          <w:bCs/>
          <w:color w:val="000000"/>
          <w:sz w:val="21"/>
          <w:szCs w:val="21"/>
        </w:rPr>
      </w:pPr>
      <w:r>
        <w:rPr>
          <w:rFonts w:ascii="Times New Roman" w:hAnsi="Times New Roman"/>
          <w:bCs/>
          <w:color w:val="000000"/>
          <w:sz w:val="21"/>
          <w:szCs w:val="21"/>
        </w:rPr>
        <w:t>Dr.</w:t>
      </w:r>
      <w:r>
        <w:rPr>
          <w:rFonts w:hint="eastAsia" w:ascii="Times New Roman" w:hAnsi="Times New Roman"/>
          <w:bCs/>
          <w:color w:val="000000"/>
          <w:sz w:val="21"/>
          <w:szCs w:val="21"/>
        </w:rPr>
        <w:t xml:space="preserve"> Ajam</w:t>
      </w:r>
      <w:r>
        <w:rPr>
          <w:rFonts w:ascii="Times New Roman" w:hAnsi="Times New Roman"/>
          <w:bCs/>
          <w:color w:val="000000"/>
          <w:sz w:val="21"/>
          <w:szCs w:val="21"/>
        </w:rPr>
        <w:t xml:space="preserve"> also highlighted the importance of professional development for educators and institutional support mechanisms to ensure sustainable innovation in teaching practices.</w:t>
      </w:r>
      <w:r>
        <w:rPr>
          <w:rFonts w:hint="eastAsia" w:ascii="Times New Roman" w:hAnsi="Times New Roman"/>
          <w:bCs/>
          <w:color w:val="000000"/>
          <w:sz w:val="21"/>
          <w:szCs w:val="21"/>
        </w:rPr>
        <w:t xml:space="preserve"> The sharing illustrated how digital innovation in higher education can strengthen institutional collaboration and capacity building. Such practices contribute to the promotion of quality education and innovation-driven learning across diverse educational contexts.</w:t>
      </w:r>
    </w:p>
    <w:p w14:paraId="4484DB20">
      <w:pPr>
        <w:pStyle w:val="9"/>
        <w:jc w:val="center"/>
        <w:rPr>
          <w:rFonts w:ascii="Times New Roman" w:hAnsi="Times New Roman"/>
          <w:bCs/>
          <w:color w:val="000000"/>
          <w:sz w:val="21"/>
          <w:szCs w:val="21"/>
        </w:rPr>
      </w:pPr>
      <w:r>
        <w:rPr>
          <w:rFonts w:hint="eastAsia" w:ascii="Times New Roman" w:hAnsi="Times New Roman"/>
          <w:bCs/>
          <w:color w:val="000000"/>
          <w:sz w:val="21"/>
          <w:szCs w:val="21"/>
        </w:rPr>
        <w:drawing>
          <wp:inline distT="0" distB="0" distL="114300" distR="114300">
            <wp:extent cx="3789045" cy="2464435"/>
            <wp:effectExtent l="0" t="0" r="20955" b="24765"/>
            <wp:docPr id="4" name="图片 4" descr="Speech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peech 05"/>
                    <pic:cNvPicPr>
                      <a:picLocks noChangeAspect="1"/>
                    </pic:cNvPicPr>
                  </pic:nvPicPr>
                  <pic:blipFill>
                    <a:blip r:embed="rId10"/>
                    <a:stretch>
                      <a:fillRect/>
                    </a:stretch>
                  </pic:blipFill>
                  <pic:spPr>
                    <a:xfrm>
                      <a:off x="0" y="0"/>
                      <a:ext cx="3789045" cy="2464435"/>
                    </a:xfrm>
                    <a:prstGeom prst="rect">
                      <a:avLst/>
                    </a:prstGeom>
                  </pic:spPr>
                </pic:pic>
              </a:graphicData>
            </a:graphic>
          </wp:inline>
        </w:drawing>
      </w:r>
    </w:p>
    <w:p w14:paraId="37D733B7">
      <w:pPr>
        <w:pStyle w:val="3"/>
        <w:spacing w:line="360" w:lineRule="auto"/>
        <w:jc w:val="both"/>
        <w:rPr>
          <w:rFonts w:hint="default" w:ascii="Times New Roman" w:hAnsi="Times New Roman"/>
          <w:b w:val="0"/>
          <w:color w:val="000000"/>
          <w:sz w:val="21"/>
          <w:szCs w:val="21"/>
        </w:rPr>
      </w:pPr>
      <w:r>
        <w:rPr>
          <w:rStyle w:val="10"/>
          <w:rFonts w:hint="default" w:ascii="Times New Roman" w:hAnsi="Times New Roman"/>
          <w:b w:val="0"/>
          <w:color w:val="000000"/>
          <w:sz w:val="21"/>
          <w:szCs w:val="21"/>
        </w:rPr>
        <w:t>Speaker: Ms. Syadza Adila Putri</w:t>
      </w:r>
      <w:r>
        <w:rPr>
          <w:rStyle w:val="10"/>
          <w:rFonts w:hint="default" w:ascii="Times New Roman" w:hAnsi="Times New Roman"/>
          <w:b w:val="0"/>
          <w:color w:val="000000"/>
          <w:sz w:val="21"/>
          <w:szCs w:val="21"/>
        </w:rPr>
        <w:br w:type="textWrapping"/>
      </w:r>
      <w:r>
        <w:rPr>
          <w:rFonts w:hint="default" w:ascii="Times New Roman" w:hAnsi="Times New Roman"/>
          <w:b w:val="0"/>
          <w:color w:val="000000"/>
          <w:sz w:val="21"/>
          <w:szCs w:val="21"/>
        </w:rPr>
        <w:t>Riau University, Indonesia</w:t>
      </w:r>
      <w:r>
        <w:rPr>
          <w:rFonts w:hint="default" w:ascii="Times New Roman" w:hAnsi="Times New Roman"/>
          <w:b w:val="0"/>
          <w:color w:val="000000"/>
          <w:sz w:val="21"/>
          <w:szCs w:val="21"/>
        </w:rPr>
        <w:br w:type="textWrapping"/>
      </w:r>
      <w:r>
        <w:rPr>
          <w:rStyle w:val="10"/>
          <w:rFonts w:hint="default" w:ascii="Times New Roman" w:hAnsi="Times New Roman"/>
          <w:b w:val="0"/>
          <w:color w:val="000000"/>
          <w:sz w:val="21"/>
          <w:szCs w:val="21"/>
        </w:rPr>
        <w:t>Topic: AI-Assisted Learning and Student Participation in English Education</w:t>
      </w:r>
    </w:p>
    <w:p w14:paraId="55E7CC32">
      <w:pPr>
        <w:pStyle w:val="9"/>
        <w:spacing w:line="360" w:lineRule="auto"/>
        <w:jc w:val="both"/>
        <w:rPr>
          <w:rFonts w:ascii="Times New Roman" w:hAnsi="Times New Roman"/>
          <w:bCs/>
          <w:color w:val="000000"/>
          <w:sz w:val="21"/>
          <w:szCs w:val="21"/>
        </w:rPr>
      </w:pPr>
      <w:r>
        <w:rPr>
          <w:rFonts w:ascii="Times New Roman" w:hAnsi="Times New Roman"/>
          <w:bCs/>
          <w:color w:val="000000"/>
          <w:sz w:val="21"/>
          <w:szCs w:val="21"/>
        </w:rPr>
        <w:t>Ms. Syadza Adila Putri discussed the increasing use of</w:t>
      </w:r>
      <w:r>
        <w:rPr>
          <w:rStyle w:val="11"/>
          <w:rFonts w:ascii="Times New Roman" w:hAnsi="Times New Roman"/>
          <w:bCs/>
          <w:color w:val="000000"/>
          <w:sz w:val="21"/>
          <w:szCs w:val="21"/>
        </w:rPr>
        <w:t> </w:t>
      </w:r>
      <w:r>
        <w:rPr>
          <w:rStyle w:val="10"/>
          <w:rFonts w:ascii="Times New Roman" w:hAnsi="Times New Roman"/>
          <w:b w:val="0"/>
          <w:bCs/>
          <w:color w:val="000000"/>
          <w:sz w:val="21"/>
          <w:szCs w:val="21"/>
        </w:rPr>
        <w:t>AI-assisted tools</w:t>
      </w:r>
      <w:r>
        <w:rPr>
          <w:rStyle w:val="11"/>
          <w:rFonts w:ascii="Times New Roman" w:hAnsi="Times New Roman"/>
          <w:bCs/>
          <w:color w:val="000000"/>
          <w:sz w:val="21"/>
          <w:szCs w:val="21"/>
        </w:rPr>
        <w:t> </w:t>
      </w:r>
      <w:r>
        <w:rPr>
          <w:rFonts w:ascii="Times New Roman" w:hAnsi="Times New Roman"/>
          <w:bCs/>
          <w:color w:val="000000"/>
          <w:sz w:val="21"/>
          <w:szCs w:val="21"/>
        </w:rPr>
        <w:t>in English language learning. She explained that AI can support students in generating ideas, practicing language skills, and improving learning efficiency.</w:t>
      </w:r>
      <w:r>
        <w:rPr>
          <w:rFonts w:hint="eastAsia" w:ascii="Times New Roman" w:hAnsi="Times New Roman"/>
          <w:bCs/>
          <w:color w:val="000000"/>
          <w:sz w:val="21"/>
          <w:szCs w:val="21"/>
        </w:rPr>
        <w:t xml:space="preserve"> </w:t>
      </w:r>
      <w:r>
        <w:rPr>
          <w:rFonts w:ascii="Times New Roman" w:hAnsi="Times New Roman"/>
          <w:bCs/>
          <w:color w:val="000000"/>
          <w:sz w:val="21"/>
          <w:szCs w:val="21"/>
        </w:rPr>
        <w:t>She also addressed challenges related to over-reliance on AI, including surface-level participation and reduced critical engagement. She stressed the importance of guiding students to use AI as a supportive tool rather than a substitute for independent thinking.</w:t>
      </w:r>
    </w:p>
    <w:p w14:paraId="38917667">
      <w:pPr>
        <w:pStyle w:val="9"/>
        <w:spacing w:line="360" w:lineRule="auto"/>
        <w:jc w:val="both"/>
        <w:rPr>
          <w:rFonts w:ascii="Times New Roman" w:hAnsi="Times New Roman"/>
          <w:bCs/>
          <w:color w:val="000000"/>
          <w:sz w:val="21"/>
          <w:szCs w:val="21"/>
        </w:rPr>
      </w:pPr>
      <w:r>
        <w:rPr>
          <w:rFonts w:ascii="Times New Roman" w:hAnsi="Times New Roman"/>
          <w:bCs/>
          <w:color w:val="000000"/>
          <w:sz w:val="21"/>
          <w:szCs w:val="21"/>
        </w:rPr>
        <w:t>Ms. Syadza emphasized that educators must play an active role in fostering responsible AI use while maintaining academic integrity and learner originality.</w:t>
      </w:r>
      <w:r>
        <w:rPr>
          <w:rFonts w:hint="eastAsia" w:ascii="Times New Roman" w:hAnsi="Times New Roman"/>
          <w:bCs/>
          <w:color w:val="000000"/>
          <w:sz w:val="21"/>
          <w:szCs w:val="21"/>
        </w:rPr>
        <w:t xml:space="preserve"> The presentation emphasized the importance of developing ethical and pedagogically sound AI practices in education. Encouraging balanced approaches to AI-assisted learning helps enhance teaching quality while safeguarding core educational values.</w:t>
      </w:r>
    </w:p>
    <w:p w14:paraId="3F7817E6">
      <w:pPr>
        <w:pStyle w:val="9"/>
        <w:jc w:val="center"/>
        <w:rPr>
          <w:rFonts w:ascii="Times New Roman" w:hAnsi="Times New Roman"/>
          <w:bCs/>
          <w:color w:val="000000"/>
          <w:sz w:val="21"/>
          <w:szCs w:val="21"/>
        </w:rPr>
      </w:pPr>
    </w:p>
    <w:p w14:paraId="7D399B28">
      <w:pPr>
        <w:rPr>
          <w:color w:val="000000" w:themeColor="text1"/>
          <w14:textFill>
            <w14:solidFill>
              <w14:schemeClr w14:val="tx1"/>
            </w14:solidFill>
          </w14:textFill>
        </w:rPr>
      </w:pPr>
    </w:p>
    <w:p w14:paraId="26024E1C">
      <w:pPr>
        <w:jc w:val="center"/>
        <w:rPr>
          <w:color w:val="000000" w:themeColor="text1"/>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DaunPenh">
    <w:panose1 w:val="01010101010101010101"/>
    <w:charset w:val="00"/>
    <w:family w:val="auto"/>
    <w:pitch w:val="default"/>
    <w:sig w:usb0="80000003" w:usb1="00000000" w:usb2="00010000" w:usb3="00000000" w:csb0="00000001" w:csb1="00000000"/>
  </w:font>
  <w:font w:name="Times New Roman Italic">
    <w:altName w:val="Times New Roman"/>
    <w:panose1 w:val="02020503050405090304"/>
    <w:charset w:val="00"/>
    <w:family w:val="auto"/>
    <w:pitch w:val="default"/>
    <w:sig w:usb0="00000000" w:usb1="00000000" w:usb2="00000001" w:usb3="00000000" w:csb0="400001BF" w:csb1="DFF70000"/>
  </w:font>
  <w:font w:name="Times New Roman Bold">
    <w:altName w:val="Times New Roman"/>
    <w:panose1 w:val="02020803070505020304"/>
    <w:charset w:val="00"/>
    <w:family w:val="auto"/>
    <w:pitch w:val="default"/>
    <w:sig w:usb0="00000000" w:usb1="00000000" w:usb2="00000001" w:usb3="00000000" w:csb0="400001BF" w:csb1="DFF7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0788536"/>
      <w:docPartObj>
        <w:docPartGallery w:val="AutoText"/>
      </w:docPartObj>
    </w:sdtPr>
    <w:sdtContent>
      <w:p w14:paraId="13DBED13">
        <w:pPr>
          <w:pStyle w:val="7"/>
          <w:jc w:val="right"/>
        </w:pPr>
        <w:r>
          <w:fldChar w:fldCharType="begin"/>
        </w:r>
        <w:r>
          <w:instrText xml:space="preserve"> PAGE   \* MERGEFORMAT </w:instrText>
        </w:r>
        <w:r>
          <w:fldChar w:fldCharType="separate"/>
        </w:r>
        <w:r>
          <w:t>2</w:t>
        </w:r>
        <w:r>
          <w:fldChar w:fldCharType="end"/>
        </w:r>
      </w:p>
    </w:sdtContent>
  </w:sdt>
  <w:p w14:paraId="6827C714">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F6A97"/>
    <w:rsid w:val="000621B7"/>
    <w:rsid w:val="001F3390"/>
    <w:rsid w:val="00416A63"/>
    <w:rsid w:val="005B2055"/>
    <w:rsid w:val="006068FB"/>
    <w:rsid w:val="0072440D"/>
    <w:rsid w:val="009068FF"/>
    <w:rsid w:val="00AA1422"/>
    <w:rsid w:val="00AD1354"/>
    <w:rsid w:val="00BE593A"/>
    <w:rsid w:val="00F3700B"/>
    <w:rsid w:val="00F94432"/>
    <w:rsid w:val="048D45BB"/>
    <w:rsid w:val="0CDF76AC"/>
    <w:rsid w:val="14FF634C"/>
    <w:rsid w:val="152DF7CE"/>
    <w:rsid w:val="25E377AE"/>
    <w:rsid w:val="2DDF62C0"/>
    <w:rsid w:val="2ECC74AA"/>
    <w:rsid w:val="308435E0"/>
    <w:rsid w:val="3A86105D"/>
    <w:rsid w:val="3F7E4B2C"/>
    <w:rsid w:val="46BB234C"/>
    <w:rsid w:val="497C3251"/>
    <w:rsid w:val="4CA17497"/>
    <w:rsid w:val="52F06665"/>
    <w:rsid w:val="53DF4A6D"/>
    <w:rsid w:val="543F6A97"/>
    <w:rsid w:val="598DB0FB"/>
    <w:rsid w:val="5D582178"/>
    <w:rsid w:val="5FFEF59A"/>
    <w:rsid w:val="652C450B"/>
    <w:rsid w:val="65AF48BB"/>
    <w:rsid w:val="67A23487"/>
    <w:rsid w:val="79BCB0EA"/>
    <w:rsid w:val="7DD7D922"/>
    <w:rsid w:val="7DFAA839"/>
    <w:rsid w:val="7EC36C2A"/>
    <w:rsid w:val="7F7D36CE"/>
    <w:rsid w:val="7FD005A6"/>
    <w:rsid w:val="7FF3B35E"/>
    <w:rsid w:val="AFF720E9"/>
    <w:rsid w:val="BFFC682A"/>
    <w:rsid w:val="D1799A23"/>
    <w:rsid w:val="D7B3956E"/>
    <w:rsid w:val="D7FFDAC5"/>
    <w:rsid w:val="DCFEB76F"/>
    <w:rsid w:val="E2BE4652"/>
    <w:rsid w:val="F0EA74F9"/>
    <w:rsid w:val="F56FD036"/>
    <w:rsid w:val="F65B335C"/>
    <w:rsid w:val="FDFFA178"/>
    <w:rsid w:val="FFDA9951"/>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SimSun" w:hAnsi="SimSun" w:eastAsia="SimSun" w:cs="Times New Roman"/>
      <w:b/>
      <w:bCs/>
      <w:kern w:val="44"/>
      <w:sz w:val="48"/>
      <w:szCs w:val="48"/>
    </w:rPr>
  </w:style>
  <w:style w:type="paragraph" w:styleId="3">
    <w:name w:val="heading 3"/>
    <w:basedOn w:val="1"/>
    <w:next w:val="1"/>
    <w:unhideWhenUsed/>
    <w:qFormat/>
    <w:uiPriority w:val="0"/>
    <w:pPr>
      <w:spacing w:beforeAutospacing="1" w:afterAutospacing="1"/>
      <w:jc w:val="left"/>
      <w:outlineLvl w:val="2"/>
    </w:pPr>
    <w:rPr>
      <w:rFonts w:hint="eastAsia" w:ascii="SimSun" w:hAnsi="SimSun" w:eastAsia="SimSun" w:cs="Times New Roman"/>
      <w:b/>
      <w:bCs/>
      <w:kern w:val="0"/>
      <w:sz w:val="27"/>
      <w:szCs w:val="27"/>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Emphasis"/>
    <w:basedOn w:val="4"/>
    <w:qFormat/>
    <w:uiPriority w:val="0"/>
    <w:rPr>
      <w:i/>
    </w:rPr>
  </w:style>
  <w:style w:type="paragraph" w:styleId="7">
    <w:name w:val="footer"/>
    <w:basedOn w:val="1"/>
    <w:link w:val="13"/>
    <w:uiPriority w:val="99"/>
    <w:pPr>
      <w:tabs>
        <w:tab w:val="center" w:pos="4680"/>
        <w:tab w:val="right" w:pos="9360"/>
      </w:tabs>
    </w:pPr>
  </w:style>
  <w:style w:type="paragraph" w:styleId="8">
    <w:name w:val="header"/>
    <w:basedOn w:val="1"/>
    <w:link w:val="12"/>
    <w:uiPriority w:val="0"/>
    <w:pPr>
      <w:tabs>
        <w:tab w:val="center" w:pos="4680"/>
        <w:tab w:val="right" w:pos="9360"/>
      </w:tabs>
    </w:pPr>
  </w:style>
  <w:style w:type="paragraph" w:styleId="9">
    <w:name w:val="Normal (Web)"/>
    <w:basedOn w:val="1"/>
    <w:qFormat/>
    <w:uiPriority w:val="99"/>
    <w:pPr>
      <w:spacing w:beforeAutospacing="1" w:afterAutospacing="1"/>
      <w:jc w:val="left"/>
    </w:pPr>
    <w:rPr>
      <w:rFonts w:cs="Times New Roman"/>
      <w:kern w:val="0"/>
      <w:sz w:val="24"/>
    </w:rPr>
  </w:style>
  <w:style w:type="character" w:styleId="10">
    <w:name w:val="Strong"/>
    <w:basedOn w:val="4"/>
    <w:qFormat/>
    <w:uiPriority w:val="22"/>
    <w:rPr>
      <w:b/>
    </w:rPr>
  </w:style>
  <w:style w:type="character" w:customStyle="1" w:styleId="11">
    <w:name w:val="apple-converted-space"/>
    <w:basedOn w:val="4"/>
    <w:uiPriority w:val="0"/>
  </w:style>
  <w:style w:type="character" w:customStyle="1" w:styleId="12">
    <w:name w:val="Header Char"/>
    <w:basedOn w:val="4"/>
    <w:link w:val="8"/>
    <w:uiPriority w:val="0"/>
    <w:rPr>
      <w:rFonts w:asciiTheme="minorHAnsi" w:hAnsiTheme="minorHAnsi" w:eastAsiaTheme="minorEastAsia" w:cstheme="minorBidi"/>
      <w:kern w:val="2"/>
      <w:sz w:val="21"/>
      <w:szCs w:val="24"/>
      <w:lang w:eastAsia="zh-CN" w:bidi="ar-SA"/>
    </w:rPr>
  </w:style>
  <w:style w:type="character" w:customStyle="1" w:styleId="13">
    <w:name w:val="Footer Char"/>
    <w:basedOn w:val="4"/>
    <w:link w:val="7"/>
    <w:uiPriority w:val="99"/>
    <w:rPr>
      <w:rFonts w:asciiTheme="minorHAnsi" w:hAnsiTheme="minorHAnsi" w:eastAsiaTheme="minorEastAsia" w:cstheme="minorBidi"/>
      <w:kern w:val="2"/>
      <w:sz w:val="21"/>
      <w:szCs w:val="24"/>
      <w:lang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1082</Words>
  <Characters>6170</Characters>
  <Lines>51</Lines>
  <Paragraphs>14</Paragraphs>
  <TotalTime>1</TotalTime>
  <ScaleCrop>false</ScaleCrop>
  <LinksUpToDate>false</LinksUpToDate>
  <CharactersWithSpaces>7238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2026-01-21T06:33:00Z</dcterms:created>
  <dc:creator>爱来自天津</dc:creator>
  <cp:lastModifiedBy>USER</cp:lastModifiedBy>
  <dcterms:modified xsi:type="dcterms:W3CDTF">2026-02-03T02:18:58Z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F64D318F79B646DD83D7C314BB96EC20_13</vt:lpwstr>
  </property>
  <property fmtid="{D5CDD505-2E9C-101B-9397-08002B2CF9AE}" pid="4" name="KSOTemplateDocerSaveRecord">
    <vt:lpwstr>eyJoZGlkIjoiZjczNDI3N2ZhNTQ1ZGY0MmQ2N2Y2OWRkMTIzYmQ3MjQiLCJ1c2VySWQiOiIyOTQ3ODg3MzYifQ==</vt:lpwstr>
  </property>
</Properties>
</file>