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E47C9" w14:textId="7F424A0F" w:rsidR="00FF33B0" w:rsidRPr="00FF33B0" w:rsidRDefault="00FF33B0" w:rsidP="00FF33B0">
      <w:pPr>
        <w:spacing w:line="360" w:lineRule="auto"/>
        <w:jc w:val="center"/>
        <w:rPr>
          <w:rFonts w:ascii="Times New Roman" w:hAnsi="Times New Roman" w:cs="Times New Roman"/>
          <w:b/>
          <w:bCs/>
          <w:color w:val="000000" w:themeColor="text1"/>
          <w:sz w:val="24"/>
          <w:szCs w:val="24"/>
        </w:rPr>
      </w:pPr>
      <w:r w:rsidRPr="00FF33B0">
        <w:rPr>
          <w:rFonts w:ascii="Times New Roman" w:hAnsi="Times New Roman" w:cs="Times New Roman"/>
          <w:b/>
          <w:bCs/>
          <w:color w:val="000000" w:themeColor="text1"/>
          <w:sz w:val="24"/>
          <w:szCs w:val="24"/>
        </w:rPr>
        <w:t xml:space="preserve">International Expert Sharing Forum on </w:t>
      </w:r>
    </w:p>
    <w:p w14:paraId="0E0CE323" w14:textId="0FFF5002" w:rsidR="00FF33B0" w:rsidRPr="00FF33B0" w:rsidRDefault="00FF33B0" w:rsidP="00FF33B0">
      <w:pPr>
        <w:spacing w:line="360" w:lineRule="auto"/>
        <w:jc w:val="center"/>
        <w:rPr>
          <w:rFonts w:ascii="Times New Roman" w:hAnsi="Times New Roman" w:cs="Times New Roman"/>
          <w:b/>
          <w:bCs/>
          <w:color w:val="000000" w:themeColor="text1"/>
          <w:sz w:val="24"/>
          <w:szCs w:val="24"/>
        </w:rPr>
      </w:pPr>
      <w:r w:rsidRPr="00FF33B0">
        <w:rPr>
          <w:rFonts w:ascii="Times New Roman" w:hAnsi="Times New Roman" w:cs="Times New Roman"/>
          <w:b/>
          <w:bCs/>
          <w:color w:val="000000" w:themeColor="text1"/>
          <w:sz w:val="24"/>
          <w:szCs w:val="24"/>
        </w:rPr>
        <w:t xml:space="preserve">“Integration &amp; Optimization of Renewable Energy” </w:t>
      </w:r>
    </w:p>
    <w:p w14:paraId="1C55F56A" w14:textId="3FEC5A72" w:rsidR="00FF33B0" w:rsidRDefault="00FF33B0" w:rsidP="00FF33B0">
      <w:pPr>
        <w:spacing w:line="360" w:lineRule="auto"/>
        <w:jc w:val="center"/>
        <w:rPr>
          <w:rFonts w:ascii="Times New Roman" w:hAnsi="Times New Roman" w:cs="Times New Roman"/>
          <w:color w:val="000000" w:themeColor="text1"/>
          <w:sz w:val="22"/>
          <w:szCs w:val="22"/>
        </w:rPr>
      </w:pPr>
      <w:r w:rsidRPr="00FF33B0">
        <w:rPr>
          <w:rFonts w:ascii="Times New Roman" w:hAnsi="Times New Roman" w:cs="Times New Roman"/>
          <w:b/>
          <w:bCs/>
          <w:color w:val="000000" w:themeColor="text1"/>
          <w:sz w:val="24"/>
          <w:szCs w:val="24"/>
        </w:rPr>
        <w:t>May 08, 2026</w:t>
      </w:r>
    </w:p>
    <w:p w14:paraId="1250B135" w14:textId="77777777" w:rsidR="00FF33B0" w:rsidRDefault="00FF33B0">
      <w:pPr>
        <w:jc w:val="both"/>
        <w:rPr>
          <w:rFonts w:ascii="Times New Roman" w:hAnsi="Times New Roman" w:cs="Times New Roman"/>
          <w:color w:val="000000" w:themeColor="text1"/>
          <w:sz w:val="22"/>
          <w:szCs w:val="22"/>
        </w:rPr>
      </w:pPr>
    </w:p>
    <w:p w14:paraId="48836717" w14:textId="2414B772" w:rsidR="00C82E3F" w:rsidRDefault="009675E8" w:rsidP="00FF33B0">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On the afternoon of </w:t>
      </w:r>
      <w:r>
        <w:rPr>
          <w:rFonts w:ascii="Times New Roman" w:hAnsi="Times New Roman" w:cs="Times New Roman"/>
          <w:color w:val="000000" w:themeColor="text1"/>
          <w:sz w:val="22"/>
          <w:szCs w:val="22"/>
        </w:rPr>
        <w:t>May 8th</w:t>
      </w:r>
      <w:r>
        <w:rPr>
          <w:rFonts w:ascii="Times New Roman" w:hAnsi="Times New Roman" w:cs="Times New Roman"/>
          <w:color w:val="000000" w:themeColor="text1"/>
          <w:sz w:val="22"/>
          <w:szCs w:val="22"/>
        </w:rPr>
        <w:t xml:space="preserve">, 2026, the </w:t>
      </w:r>
      <w:r>
        <w:rPr>
          <w:rFonts w:ascii="Times New Roman" w:hAnsi="Times New Roman" w:cs="Times New Roman"/>
          <w:color w:val="000000" w:themeColor="text1"/>
          <w:sz w:val="22"/>
          <w:szCs w:val="22"/>
        </w:rPr>
        <w:t>5</w:t>
      </w:r>
      <w:r>
        <w:rPr>
          <w:rFonts w:ascii="Times New Roman" w:hAnsi="Times New Roman" w:cs="Times New Roman" w:hint="eastAsia"/>
          <w:color w:val="000000" w:themeColor="text1"/>
          <w:sz w:val="22"/>
          <w:szCs w:val="22"/>
          <w:vertAlign w:val="superscript"/>
        </w:rPr>
        <w:t>th</w:t>
      </w:r>
      <w:r>
        <w:rPr>
          <w:rFonts w:ascii="Times New Roman" w:hAnsi="Times New Roman" w:cs="Times New Roman"/>
          <w:color w:val="000000" w:themeColor="text1"/>
          <w:sz w:val="22"/>
          <w:szCs w:val="22"/>
        </w:rPr>
        <w:t xml:space="preserve"> session of the “International Experts Sharing Meeting,” jointly organized by the China-ASEAN Technical Education Cooperation Platform (CATECP), the Southeast Asian Ministers of Education Organization Regional Centre for Technical Education Development (SEAMEO TED), and Go Study Global Education, was successfully concluded online.</w:t>
      </w:r>
      <w:r>
        <w:rPr>
          <w:rFonts w:ascii="Times New Roman" w:hAnsi="Times New Roman" w:cs="Times New Roman"/>
          <w:color w:val="000000" w:themeColor="text1"/>
          <w:sz w:val="22"/>
          <w:szCs w:val="22"/>
        </w:rPr>
        <w:t xml:space="preserve"> The meeting was attended by 58 male and 44 female participants, making a total of 102 participants.</w:t>
      </w:r>
    </w:p>
    <w:p w14:paraId="7416C175" w14:textId="77777777" w:rsidR="00C82E3F" w:rsidRDefault="00C82E3F" w:rsidP="00FF33B0">
      <w:pPr>
        <w:spacing w:line="360" w:lineRule="auto"/>
        <w:jc w:val="both"/>
        <w:rPr>
          <w:rFonts w:ascii="Times New Roman" w:hAnsi="Times New Roman" w:cs="Times New Roman"/>
          <w:color w:val="000000" w:themeColor="text1"/>
          <w:sz w:val="22"/>
          <w:szCs w:val="22"/>
        </w:rPr>
      </w:pPr>
    </w:p>
    <w:p w14:paraId="2808991F" w14:textId="77777777" w:rsidR="00C82E3F" w:rsidRDefault="009675E8" w:rsidP="00FF33B0">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Themed “</w:t>
      </w:r>
      <w:r>
        <w:rPr>
          <w:rFonts w:ascii="Times New Roman" w:hAnsi="Times New Roman" w:cs="Times New Roman"/>
          <w:b/>
          <w:bCs/>
          <w:color w:val="000000" w:themeColor="text1"/>
          <w:sz w:val="22"/>
          <w:szCs w:val="22"/>
        </w:rPr>
        <w:t>Integration &amp; Optimization of Renewable Energy”</w:t>
      </w:r>
      <w:r>
        <w:rPr>
          <w:rFonts w:ascii="Times New Roman" w:hAnsi="Times New Roman" w:cs="Times New Roman"/>
          <w:color w:val="000000" w:themeColor="text1"/>
          <w:sz w:val="22"/>
          <w:szCs w:val="22"/>
        </w:rPr>
        <w:t>, the speakers are experts and scholars from Malaysia, Indonesia, and Thailand. Discussions centered on cutting-edge topics including solar energy technologies, AI-driven power system optimization, hydrogen vehicles, and clean energy production from food waste. These topics were explored through keynote presentations and interactive exchanges.</w:t>
      </w:r>
    </w:p>
    <w:p w14:paraId="6CE6F83A" w14:textId="77777777" w:rsidR="00C82E3F" w:rsidRDefault="00C82E3F">
      <w:pPr>
        <w:jc w:val="both"/>
        <w:rPr>
          <w:rFonts w:ascii="Times New Roman" w:hAnsi="Times New Roman" w:cs="Times New Roman"/>
          <w:color w:val="000000" w:themeColor="text1"/>
          <w:sz w:val="22"/>
          <w:szCs w:val="22"/>
        </w:rPr>
      </w:pPr>
    </w:p>
    <w:p w14:paraId="73CDAB39" w14:textId="77777777" w:rsidR="00C82E3F" w:rsidRDefault="009675E8">
      <w:pPr>
        <w:jc w:val="cente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114300" distR="114300" wp14:anchorId="04B55531" wp14:editId="3B91F6B1">
            <wp:extent cx="3205480" cy="4533265"/>
            <wp:effectExtent l="0" t="0" r="13970" b="635"/>
            <wp:docPr id="1" name="Picture 1" descr="20260508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260508 Poster"/>
                    <pic:cNvPicPr>
                      <a:picLocks noChangeAspect="1"/>
                    </pic:cNvPicPr>
                  </pic:nvPicPr>
                  <pic:blipFill>
                    <a:blip r:embed="rId6"/>
                    <a:stretch>
                      <a:fillRect/>
                    </a:stretch>
                  </pic:blipFill>
                  <pic:spPr>
                    <a:xfrm>
                      <a:off x="0" y="0"/>
                      <a:ext cx="3205480" cy="4533265"/>
                    </a:xfrm>
                    <a:prstGeom prst="rect">
                      <a:avLst/>
                    </a:prstGeom>
                  </pic:spPr>
                </pic:pic>
              </a:graphicData>
            </a:graphic>
          </wp:inline>
        </w:drawing>
      </w:r>
    </w:p>
    <w:p w14:paraId="342EA81D" w14:textId="77777777" w:rsidR="00C82E3F" w:rsidRDefault="00C82E3F">
      <w:pPr>
        <w:jc w:val="both"/>
        <w:rPr>
          <w:rFonts w:ascii="Times New Roman" w:hAnsi="Times New Roman" w:cs="Times New Roman"/>
          <w:color w:val="000000" w:themeColor="text1"/>
          <w:sz w:val="22"/>
          <w:szCs w:val="22"/>
        </w:rPr>
      </w:pPr>
    </w:p>
    <w:p w14:paraId="7CF4247E" w14:textId="77777777" w:rsidR="00C82E3F" w:rsidRDefault="009675E8">
      <w:pPr>
        <w:jc w:val="center"/>
        <w:rPr>
          <w:rFonts w:ascii="Times New Roman" w:hAnsi="Times New Roman" w:cs="Times New Roman"/>
          <w:b/>
          <w:bCs/>
          <w:color w:val="000000" w:themeColor="text1"/>
          <w:sz w:val="22"/>
          <w:szCs w:val="22"/>
        </w:rPr>
      </w:pPr>
      <w:r>
        <w:rPr>
          <w:rFonts w:ascii="Times New Roman" w:hAnsi="Times New Roman" w:cs="Times New Roman" w:hint="eastAsia"/>
          <w:b/>
          <w:bCs/>
          <w:color w:val="000000" w:themeColor="text1"/>
          <w:sz w:val="22"/>
          <w:szCs w:val="22"/>
        </w:rPr>
        <w:lastRenderedPageBreak/>
        <w:t>【</w:t>
      </w:r>
      <w:r>
        <w:rPr>
          <w:rFonts w:ascii="Times New Roman" w:hAnsi="Times New Roman" w:cs="Times New Roman"/>
          <w:b/>
          <w:bCs/>
          <w:color w:val="000000" w:themeColor="text1"/>
          <w:sz w:val="22"/>
          <w:szCs w:val="22"/>
        </w:rPr>
        <w:t>Opening Remarks</w:t>
      </w:r>
      <w:r>
        <w:rPr>
          <w:rFonts w:ascii="Times New Roman" w:hAnsi="Times New Roman" w:cs="Times New Roman" w:hint="eastAsia"/>
          <w:b/>
          <w:bCs/>
          <w:color w:val="000000" w:themeColor="text1"/>
          <w:sz w:val="22"/>
          <w:szCs w:val="22"/>
        </w:rPr>
        <w:t>】</w:t>
      </w:r>
    </w:p>
    <w:p w14:paraId="6EAAE8F6" w14:textId="77777777" w:rsidR="00A82543" w:rsidRDefault="00A82543">
      <w:pPr>
        <w:jc w:val="center"/>
        <w:rPr>
          <w:rFonts w:ascii="Times New Roman" w:hAnsi="Times New Roman" w:cs="Times New Roman"/>
          <w:b/>
          <w:bCs/>
          <w:color w:val="000000" w:themeColor="text1"/>
          <w:sz w:val="22"/>
          <w:szCs w:val="22"/>
        </w:rPr>
      </w:pPr>
    </w:p>
    <w:p w14:paraId="3D28EC4F" w14:textId="77777777" w:rsidR="00C82E3F" w:rsidRDefault="009675E8" w:rsidP="00FF33B0">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The opening remark was delivered by </w:t>
      </w:r>
      <w:r w:rsidRPr="00A82543">
        <w:rPr>
          <w:rFonts w:ascii="Times New Roman" w:hAnsi="Times New Roman" w:cs="Times New Roman"/>
          <w:b/>
          <w:bCs/>
          <w:color w:val="000000" w:themeColor="text1"/>
          <w:sz w:val="22"/>
          <w:szCs w:val="22"/>
        </w:rPr>
        <w:t>Ms. Cheng Chantola</w:t>
      </w:r>
      <w:r>
        <w:rPr>
          <w:rFonts w:ascii="Times New Roman" w:hAnsi="Times New Roman" w:cs="Times New Roman"/>
          <w:color w:val="000000" w:themeColor="text1"/>
          <w:sz w:val="22"/>
          <w:szCs w:val="22"/>
        </w:rPr>
        <w:t>, Head of Administration, Finance and Planning Division of SEAMEO TED. She began by highlighting that as global demand for energy continues to rise, so does the urgency to transition toward cleaner and more sustainable sources. She emphasized that renewable energy has evolved beyond being merely an alternative — it is now becoming the backbone of our entire energy system. Ms. Cheng Chantola noted that the transition to a sustainable energy future goes well beyond simply expanding solar or other renewable ca</w:t>
      </w:r>
      <w:r>
        <w:rPr>
          <w:rFonts w:ascii="Times New Roman" w:hAnsi="Times New Roman" w:cs="Times New Roman"/>
          <w:color w:val="000000" w:themeColor="text1"/>
          <w:sz w:val="22"/>
          <w:szCs w:val="22"/>
        </w:rPr>
        <w:t>pacities. It is increasingly a challenge of integration and optimization — particularly as the world moves away from steady and predictable fossil fuel sources toward variable renewable energy resources. She stressed that generating renewable energy is only half of the solution. The real challenge lies in how we effectively integrate these resources into existing infrastructure and optimize overall system performance to ensure reliability and efficiency. She concluded by warmly encouraging the participating</w:t>
      </w:r>
      <w:r>
        <w:rPr>
          <w:rFonts w:ascii="Times New Roman" w:hAnsi="Times New Roman" w:cs="Times New Roman"/>
          <w:color w:val="000000" w:themeColor="text1"/>
          <w:sz w:val="22"/>
          <w:szCs w:val="22"/>
        </w:rPr>
        <w:t xml:space="preserve"> experts, scholars, and youth representatives to actively share their experiences and perspectives, and to explore innovative educational and practical models for integrating and optimizing renewable energy systems across the region.</w:t>
      </w:r>
    </w:p>
    <w:p w14:paraId="0CD6A02B" w14:textId="77777777" w:rsidR="00A82543" w:rsidRDefault="00A82543" w:rsidP="00FF33B0">
      <w:pPr>
        <w:spacing w:line="360" w:lineRule="auto"/>
        <w:jc w:val="both"/>
        <w:rPr>
          <w:rFonts w:ascii="Times New Roman" w:hAnsi="Times New Roman" w:cs="Times New Roman"/>
          <w:color w:val="000000" w:themeColor="text1"/>
          <w:sz w:val="22"/>
          <w:szCs w:val="22"/>
        </w:rPr>
      </w:pPr>
    </w:p>
    <w:p w14:paraId="65FE7A53" w14:textId="77777777" w:rsidR="00C82E3F" w:rsidRDefault="009675E8">
      <w:pPr>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114300" distR="114300" wp14:anchorId="69B1BF7C" wp14:editId="630BFA6C">
            <wp:extent cx="5266690" cy="2962910"/>
            <wp:effectExtent l="0" t="0" r="10160" b="8890"/>
            <wp:docPr id="2" name="Picture 2" descr="Opening Remark by SEAMEO T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pening Remark by SEAMEO TED [2]"/>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p>
    <w:p w14:paraId="6EA7A402" w14:textId="77777777" w:rsidR="00C82E3F" w:rsidRDefault="00C82E3F">
      <w:pPr>
        <w:jc w:val="both"/>
        <w:rPr>
          <w:rFonts w:ascii="Times New Roman" w:hAnsi="Times New Roman" w:cs="Times New Roman"/>
          <w:color w:val="000000" w:themeColor="text1"/>
          <w:sz w:val="22"/>
          <w:szCs w:val="22"/>
        </w:rPr>
      </w:pPr>
    </w:p>
    <w:p w14:paraId="304BC31C" w14:textId="77777777" w:rsidR="00C82E3F" w:rsidRDefault="009675E8">
      <w:pPr>
        <w:pStyle w:val="NormalWeb"/>
        <w:spacing w:beforeAutospacing="0" w:afterAutospacing="0"/>
        <w:jc w:val="center"/>
        <w:rPr>
          <w:sz w:val="22"/>
          <w:szCs w:val="22"/>
        </w:rPr>
      </w:pPr>
      <w:r>
        <w:rPr>
          <w:rFonts w:cs="Times New Roman"/>
          <w:b/>
          <w:bCs/>
          <w:color w:val="000000"/>
          <w:sz w:val="22"/>
          <w:szCs w:val="22"/>
        </w:rPr>
        <w:t>【</w:t>
      </w:r>
      <w:r>
        <w:rPr>
          <w:rFonts w:cs="Times New Roman"/>
          <w:b/>
          <w:bCs/>
          <w:color w:val="000000"/>
          <w:sz w:val="22"/>
          <w:szCs w:val="22"/>
        </w:rPr>
        <w:t>Sharing Session</w:t>
      </w:r>
      <w:r>
        <w:rPr>
          <w:rFonts w:cs="Times New Roman"/>
          <w:b/>
          <w:bCs/>
          <w:color w:val="000000"/>
          <w:sz w:val="22"/>
          <w:szCs w:val="22"/>
        </w:rPr>
        <w:t>】</w:t>
      </w:r>
    </w:p>
    <w:p w14:paraId="6588CFAD" w14:textId="77777777" w:rsidR="00C82E3F" w:rsidRDefault="009675E8" w:rsidP="00FF33B0">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Speaker: Dr. </w:t>
      </w:r>
      <w:proofErr w:type="spellStart"/>
      <w:r>
        <w:rPr>
          <w:rFonts w:ascii="Times New Roman" w:hAnsi="Times New Roman" w:cs="Times New Roman"/>
          <w:color w:val="000000" w:themeColor="text1"/>
          <w:sz w:val="22"/>
          <w:szCs w:val="22"/>
        </w:rPr>
        <w:t>Pruk</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Aggarangsi</w:t>
      </w:r>
      <w:proofErr w:type="spellEnd"/>
      <w:r>
        <w:rPr>
          <w:rFonts w:ascii="Times New Roman" w:hAnsi="Times New Roman" w:cs="Times New Roman"/>
          <w:color w:val="000000" w:themeColor="text1"/>
          <w:sz w:val="22"/>
          <w:szCs w:val="22"/>
        </w:rPr>
        <w:t xml:space="preserve"> </w:t>
      </w:r>
    </w:p>
    <w:p w14:paraId="4C941D21" w14:textId="77777777" w:rsidR="00C82E3F" w:rsidRDefault="009675E8" w:rsidP="00FF33B0">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Assistant Professor in Mechanical Engineering, Chiang Mai University</w:t>
      </w:r>
    </w:p>
    <w:p w14:paraId="692E4970" w14:textId="77777777" w:rsidR="00C82E3F" w:rsidRDefault="009675E8" w:rsidP="00FF33B0">
      <w:pPr>
        <w:spacing w:line="360" w:lineRule="auto"/>
        <w:jc w:val="both"/>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 xml:space="preserve">Topic: </w:t>
      </w:r>
      <w:r>
        <w:rPr>
          <w:rFonts w:ascii="Times New Roman" w:hAnsi="Times New Roman" w:cs="Times New Roman"/>
          <w:b/>
          <w:bCs/>
          <w:color w:val="000000" w:themeColor="text1"/>
          <w:sz w:val="22"/>
          <w:szCs w:val="22"/>
        </w:rPr>
        <w:t>Clean Energy from Food Waste, the Forgotten Resource: Case Study in Chiang Mai University</w:t>
      </w:r>
    </w:p>
    <w:p w14:paraId="2FC42E59" w14:textId="0A6DEA5B" w:rsidR="00C82E3F" w:rsidRDefault="009675E8" w:rsidP="00FF33B0">
      <w:pPr>
        <w:spacing w:before="60" w:after="100" w:line="360" w:lineRule="auto"/>
        <w:jc w:val="both"/>
        <w:rPr>
          <w:rFonts w:ascii="Times New Roman" w:hAnsi="Times New Roman" w:cs="Times New Roman"/>
          <w:color w:val="000000" w:themeColor="text1"/>
          <w:sz w:val="22"/>
          <w:szCs w:val="22"/>
        </w:rPr>
      </w:pPr>
      <w:r w:rsidRPr="00A82543">
        <w:rPr>
          <w:rFonts w:ascii="Times New Roman" w:hAnsi="Times New Roman" w:cs="Times New Roman"/>
          <w:b/>
          <w:bCs/>
          <w:color w:val="000000" w:themeColor="text1"/>
          <w:sz w:val="22"/>
          <w:szCs w:val="22"/>
        </w:rPr>
        <w:lastRenderedPageBreak/>
        <w:t xml:space="preserve">Dr. </w:t>
      </w:r>
      <w:proofErr w:type="spellStart"/>
      <w:r w:rsidRPr="00A82543">
        <w:rPr>
          <w:rFonts w:ascii="Times New Roman" w:hAnsi="Times New Roman" w:cs="Times New Roman"/>
          <w:b/>
          <w:bCs/>
          <w:color w:val="000000" w:themeColor="text1"/>
          <w:sz w:val="22"/>
          <w:szCs w:val="22"/>
        </w:rPr>
        <w:t>Pruk</w:t>
      </w:r>
      <w:proofErr w:type="spellEnd"/>
      <w:r w:rsidRPr="00A82543">
        <w:rPr>
          <w:rFonts w:ascii="Times New Roman" w:hAnsi="Times New Roman" w:cs="Times New Roman"/>
          <w:b/>
          <w:bCs/>
          <w:color w:val="000000" w:themeColor="text1"/>
          <w:sz w:val="22"/>
          <w:szCs w:val="22"/>
        </w:rPr>
        <w:t xml:space="preserve"> </w:t>
      </w:r>
      <w:proofErr w:type="spellStart"/>
      <w:r w:rsidRPr="00A82543">
        <w:rPr>
          <w:rFonts w:ascii="Times New Roman" w:hAnsi="Times New Roman" w:cs="Times New Roman"/>
          <w:b/>
          <w:bCs/>
          <w:color w:val="000000" w:themeColor="text1"/>
          <w:sz w:val="22"/>
          <w:szCs w:val="22"/>
        </w:rPr>
        <w:t>Aggarangsi</w:t>
      </w:r>
      <w:proofErr w:type="spellEnd"/>
      <w:r>
        <w:rPr>
          <w:rFonts w:ascii="Times New Roman" w:hAnsi="Times New Roman" w:cs="Times New Roman"/>
          <w:color w:val="000000" w:themeColor="text1"/>
          <w:sz w:val="22"/>
          <w:szCs w:val="22"/>
        </w:rPr>
        <w:t xml:space="preserve"> from Chiang Mai University delivered an insightful presentation on Thailand’s biogas sector and CMU’s efforts in converting food waste and organic materials into clean energy. His presentation covered Thailand’s climate policy landscape, the development of biogas technology, and the large potential of food waste as a renewable energy source. He explained that food waste can be transformed into electricity, heat, compressed biomethane, and clean biomethane gas through anaerobic digestion while also helping </w:t>
      </w:r>
      <w:r>
        <w:rPr>
          <w:rFonts w:ascii="Times New Roman" w:hAnsi="Times New Roman" w:cs="Times New Roman"/>
          <w:color w:val="000000" w:themeColor="text1"/>
          <w:sz w:val="22"/>
          <w:szCs w:val="22"/>
        </w:rPr>
        <w:t xml:space="preserve">to reduce greenhouse gas emissions. The presentation highlighted how biogas can serve as both an environmental management solution and a sustainable energy resource. In addition, he introduced several flagship projects developed by CMU that process farm waste, food waste, and agro-industrial residues into biogas on a large scale. He also discussed future developments such as Liquefied Biomethane production, digital platforms for food waste tracking, and Agri-Voltaic Farms </w:t>
      </w:r>
      <w:r w:rsidR="00FF33B0">
        <w:rPr>
          <w:rFonts w:ascii="Times New Roman" w:hAnsi="Times New Roman" w:cs="Times New Roman"/>
          <w:color w:val="000000" w:themeColor="text1"/>
          <w:sz w:val="22"/>
          <w:szCs w:val="22"/>
        </w:rPr>
        <w:t>that</w:t>
      </w:r>
      <w:r>
        <w:rPr>
          <w:rFonts w:ascii="Times New Roman" w:hAnsi="Times New Roman" w:cs="Times New Roman"/>
          <w:color w:val="000000" w:themeColor="text1"/>
          <w:sz w:val="22"/>
          <w:szCs w:val="22"/>
        </w:rPr>
        <w:t xml:space="preserve"> integrate double use of land, recycling of compost from biogas system, and firming the supply with biogas generation. He concluded that biogas is both an environmental management tool and a clean energy resource, and that food waste remains a vastly underutilized opportunity in the region. </w:t>
      </w:r>
    </w:p>
    <w:p w14:paraId="21FE65EE" w14:textId="77777777" w:rsidR="00FF33B0" w:rsidRDefault="00FF33B0" w:rsidP="00FF33B0">
      <w:pPr>
        <w:spacing w:before="60" w:after="100" w:line="360" w:lineRule="auto"/>
        <w:jc w:val="both"/>
        <w:rPr>
          <w:rFonts w:ascii="Times New Roman" w:hAnsi="Times New Roman" w:cs="Times New Roman"/>
          <w:color w:val="000000" w:themeColor="text1"/>
          <w:sz w:val="22"/>
          <w:szCs w:val="22"/>
        </w:rPr>
      </w:pPr>
    </w:p>
    <w:p w14:paraId="1432CBF3" w14:textId="77777777" w:rsidR="00C82E3F" w:rsidRDefault="009675E8">
      <w:pPr>
        <w:spacing w:before="60" w:after="100"/>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114300" distR="114300" wp14:anchorId="5D92DD2B" wp14:editId="663BB5F3">
            <wp:extent cx="5275580" cy="2967990"/>
            <wp:effectExtent l="0" t="0" r="1270" b="3810"/>
            <wp:docPr id="3" name="Picture 3" descr="Dr. Pruk Aggarangs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Pruk Aggarangsi [2]"/>
                    <pic:cNvPicPr>
                      <a:picLocks noChangeAspect="1"/>
                    </pic:cNvPicPr>
                  </pic:nvPicPr>
                  <pic:blipFill>
                    <a:blip r:embed="rId8"/>
                    <a:stretch>
                      <a:fillRect/>
                    </a:stretch>
                  </pic:blipFill>
                  <pic:spPr>
                    <a:xfrm>
                      <a:off x="0" y="0"/>
                      <a:ext cx="5275580" cy="2967990"/>
                    </a:xfrm>
                    <a:prstGeom prst="rect">
                      <a:avLst/>
                    </a:prstGeom>
                  </pic:spPr>
                </pic:pic>
              </a:graphicData>
            </a:graphic>
          </wp:inline>
        </w:drawing>
      </w:r>
    </w:p>
    <w:p w14:paraId="7BC6E4EB" w14:textId="77777777" w:rsidR="00C82E3F" w:rsidRDefault="00C82E3F">
      <w:pPr>
        <w:spacing w:before="60" w:after="100"/>
        <w:jc w:val="both"/>
        <w:rPr>
          <w:rFonts w:ascii="Times New Roman" w:hAnsi="Times New Roman" w:cs="Times New Roman"/>
          <w:color w:val="000000" w:themeColor="text1"/>
          <w:sz w:val="22"/>
          <w:szCs w:val="22"/>
        </w:rPr>
      </w:pPr>
    </w:p>
    <w:p w14:paraId="1848FBB1"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Speaker: Dr. Noor </w:t>
      </w:r>
      <w:proofErr w:type="spellStart"/>
      <w:r>
        <w:rPr>
          <w:rFonts w:ascii="Times New Roman" w:hAnsi="Times New Roman" w:cs="Times New Roman"/>
          <w:color w:val="000000" w:themeColor="text1"/>
          <w:sz w:val="22"/>
          <w:szCs w:val="22"/>
        </w:rPr>
        <w:t>Izzri</w:t>
      </w:r>
      <w:proofErr w:type="spellEnd"/>
      <w:r>
        <w:rPr>
          <w:rFonts w:ascii="Times New Roman" w:hAnsi="Times New Roman" w:cs="Times New Roman"/>
          <w:color w:val="000000" w:themeColor="text1"/>
          <w:sz w:val="22"/>
          <w:szCs w:val="22"/>
        </w:rPr>
        <w:t xml:space="preserve"> Abdul Wahab</w:t>
      </w:r>
    </w:p>
    <w:p w14:paraId="42EC7391"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Associate Professor in Department of Electrical and Electronic Engineering, Universiti Putra Malaysia</w:t>
      </w:r>
    </w:p>
    <w:p w14:paraId="041A5959" w14:textId="77777777" w:rsidR="00C82E3F" w:rsidRDefault="009675E8" w:rsidP="00FF33B0">
      <w:pPr>
        <w:spacing w:before="60" w:after="100" w:line="360" w:lineRule="auto"/>
        <w:jc w:val="both"/>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 xml:space="preserve">Topic: </w:t>
      </w:r>
      <w:r>
        <w:rPr>
          <w:rFonts w:ascii="Times New Roman" w:hAnsi="Times New Roman" w:cs="Times New Roman"/>
          <w:b/>
          <w:bCs/>
          <w:color w:val="000000" w:themeColor="text1"/>
          <w:sz w:val="22"/>
          <w:szCs w:val="22"/>
        </w:rPr>
        <w:t>AI-Driven Integration and Optimization of Renewable Energy in Modern Power Systems</w:t>
      </w:r>
    </w:p>
    <w:p w14:paraId="01E24C61" w14:textId="31106735" w:rsidR="00C82E3F" w:rsidRDefault="009675E8" w:rsidP="00FF33B0">
      <w:pPr>
        <w:spacing w:before="60" w:after="100" w:line="360" w:lineRule="auto"/>
        <w:jc w:val="both"/>
        <w:rPr>
          <w:rFonts w:ascii="Times New Roman" w:hAnsi="Times New Roman" w:cs="Times New Roman"/>
          <w:color w:val="000000" w:themeColor="text1"/>
          <w:sz w:val="22"/>
          <w:szCs w:val="22"/>
        </w:rPr>
      </w:pPr>
      <w:r w:rsidRPr="003E702A">
        <w:rPr>
          <w:rFonts w:ascii="Times New Roman" w:hAnsi="Times New Roman" w:cs="Times New Roman"/>
          <w:b/>
          <w:bCs/>
          <w:color w:val="000000" w:themeColor="text1"/>
          <w:sz w:val="22"/>
          <w:szCs w:val="22"/>
        </w:rPr>
        <w:lastRenderedPageBreak/>
        <w:t xml:space="preserve">Dr. Noor </w:t>
      </w:r>
      <w:proofErr w:type="spellStart"/>
      <w:r w:rsidRPr="003E702A">
        <w:rPr>
          <w:rFonts w:ascii="Times New Roman" w:hAnsi="Times New Roman" w:cs="Times New Roman"/>
          <w:b/>
          <w:bCs/>
          <w:color w:val="000000" w:themeColor="text1"/>
          <w:sz w:val="22"/>
          <w:szCs w:val="22"/>
        </w:rPr>
        <w:t>Izzri</w:t>
      </w:r>
      <w:proofErr w:type="spellEnd"/>
      <w:r>
        <w:rPr>
          <w:rFonts w:ascii="Times New Roman" w:hAnsi="Times New Roman" w:cs="Times New Roman"/>
          <w:color w:val="000000" w:themeColor="text1"/>
          <w:sz w:val="22"/>
          <w:szCs w:val="22"/>
        </w:rPr>
        <w:t xml:space="preserve"> presented on the application of Artificial Intelligence (AI) in optimizing renewable energy integration within modern power systems. He explained that the increasing use of intermittent renewable energy sources such as solar and wind creates several challenges, including intermittency, weather uncertainty, voltage instability, and frequency fluctuations. He described an AI architecture consisting of data sources, data processing, AI models, decision engines, and power system operations, which are applied i</w:t>
      </w:r>
      <w:r>
        <w:rPr>
          <w:rFonts w:ascii="Times New Roman" w:hAnsi="Times New Roman" w:cs="Times New Roman"/>
          <w:color w:val="000000" w:themeColor="text1"/>
          <w:sz w:val="22"/>
          <w:szCs w:val="22"/>
        </w:rPr>
        <w:t xml:space="preserve">n load forecasting, fault detection, grid balancing, and real-time control. In addition, he shared examples of AI-powered renewable integration programs through a Virtual Power Plant (VPP) system, integrating solar panels, wind turbines, batteries, and electric vehicles (EVs) with AI controllers and VPP platforms connected to the grid and energy market. Other technologies discussed included Edge AI, digital twins, and peer-to-peer (P2P) energy trading. He emphasized that these approaches </w:t>
      </w:r>
      <w:r w:rsidR="00FF33B0">
        <w:rPr>
          <w:rFonts w:ascii="Times New Roman" w:hAnsi="Times New Roman" w:cs="Times New Roman"/>
          <w:color w:val="000000" w:themeColor="text1"/>
          <w:sz w:val="22"/>
          <w:szCs w:val="22"/>
        </w:rPr>
        <w:t>could</w:t>
      </w:r>
      <w:r>
        <w:rPr>
          <w:rFonts w:ascii="Times New Roman" w:hAnsi="Times New Roman" w:cs="Times New Roman"/>
          <w:color w:val="000000" w:themeColor="text1"/>
          <w:sz w:val="22"/>
          <w:szCs w:val="22"/>
        </w:rPr>
        <w:t xml:space="preserve"> improve technical performance while reducing operational costs and carbon emissions. At the end of the presentation, he called for stronger collaboration among academia, industry, and policymakers to accelerate AI-driven energy transitions across ASEAN countries.</w:t>
      </w:r>
    </w:p>
    <w:p w14:paraId="6198DCAF" w14:textId="77777777" w:rsidR="00C82E3F" w:rsidRDefault="009675E8">
      <w:pPr>
        <w:spacing w:before="60" w:after="100"/>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114300" distR="114300" wp14:anchorId="1BC02ABC" wp14:editId="363420A6">
            <wp:extent cx="5266690" cy="2962910"/>
            <wp:effectExtent l="0" t="0" r="10160" b="8890"/>
            <wp:docPr id="4" name="Picture 4" descr="Dr. Noor Izzri Abdul Wah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r. Noor Izzri Abdul Wahab [3]"/>
                    <pic:cNvPicPr>
                      <a:picLocks noChangeAspect="1"/>
                    </pic:cNvPicPr>
                  </pic:nvPicPr>
                  <pic:blipFill>
                    <a:blip r:embed="rId9"/>
                    <a:stretch>
                      <a:fillRect/>
                    </a:stretch>
                  </pic:blipFill>
                  <pic:spPr>
                    <a:xfrm>
                      <a:off x="0" y="0"/>
                      <a:ext cx="5266690" cy="2962910"/>
                    </a:xfrm>
                    <a:prstGeom prst="rect">
                      <a:avLst/>
                    </a:prstGeom>
                  </pic:spPr>
                </pic:pic>
              </a:graphicData>
            </a:graphic>
          </wp:inline>
        </w:drawing>
      </w:r>
    </w:p>
    <w:p w14:paraId="40570F4D"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Speaker: Dr. </w:t>
      </w:r>
      <w:proofErr w:type="spellStart"/>
      <w:r>
        <w:rPr>
          <w:rFonts w:ascii="Times New Roman" w:hAnsi="Times New Roman" w:cs="Times New Roman"/>
          <w:color w:val="000000" w:themeColor="text1"/>
          <w:sz w:val="22"/>
          <w:szCs w:val="22"/>
        </w:rPr>
        <w:t>Jundika</w:t>
      </w:r>
      <w:proofErr w:type="spellEnd"/>
      <w:r>
        <w:rPr>
          <w:rFonts w:ascii="Times New Roman" w:hAnsi="Times New Roman" w:cs="Times New Roman"/>
          <w:color w:val="000000" w:themeColor="text1"/>
          <w:sz w:val="22"/>
          <w:szCs w:val="22"/>
        </w:rPr>
        <w:t xml:space="preserve"> Candra Kurnia</w:t>
      </w:r>
    </w:p>
    <w:p w14:paraId="66F2D2C3"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Associate Professor in Department of Mechanical Engineering, Curtin University</w:t>
      </w:r>
    </w:p>
    <w:p w14:paraId="0C8C8239" w14:textId="77777777" w:rsidR="00C82E3F" w:rsidRDefault="009675E8" w:rsidP="00FF33B0">
      <w:pPr>
        <w:spacing w:before="60" w:after="100" w:line="360" w:lineRule="auto"/>
        <w:jc w:val="both"/>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 xml:space="preserve">Topic: </w:t>
      </w:r>
      <w:r>
        <w:rPr>
          <w:rFonts w:ascii="Times New Roman" w:hAnsi="Times New Roman" w:cs="Times New Roman"/>
          <w:b/>
          <w:bCs/>
          <w:color w:val="000000" w:themeColor="text1"/>
          <w:sz w:val="22"/>
          <w:szCs w:val="22"/>
        </w:rPr>
        <w:t>Hydrogen Vehicles in the Renewable Energy Transition: Barriers and Integration Pathways</w:t>
      </w:r>
    </w:p>
    <w:p w14:paraId="056C7018" w14:textId="285CEEBF" w:rsidR="00C82E3F" w:rsidRDefault="009675E8" w:rsidP="00FF33B0">
      <w:pPr>
        <w:spacing w:before="60" w:after="100" w:line="360" w:lineRule="auto"/>
        <w:jc w:val="both"/>
        <w:rPr>
          <w:rFonts w:ascii="Times New Roman" w:hAnsi="Times New Roman" w:cs="Times New Roman"/>
          <w:color w:val="000000" w:themeColor="text1"/>
          <w:sz w:val="22"/>
          <w:szCs w:val="22"/>
        </w:rPr>
      </w:pPr>
      <w:r w:rsidRPr="00855FE9">
        <w:rPr>
          <w:rFonts w:ascii="Times New Roman" w:hAnsi="Times New Roman" w:cs="Times New Roman"/>
          <w:b/>
          <w:bCs/>
          <w:color w:val="000000" w:themeColor="text1"/>
          <w:sz w:val="22"/>
          <w:szCs w:val="22"/>
        </w:rPr>
        <w:t xml:space="preserve">Dr. </w:t>
      </w:r>
      <w:proofErr w:type="spellStart"/>
      <w:r w:rsidRPr="00855FE9">
        <w:rPr>
          <w:rFonts w:ascii="Times New Roman" w:hAnsi="Times New Roman" w:cs="Times New Roman"/>
          <w:b/>
          <w:bCs/>
          <w:color w:val="000000" w:themeColor="text1"/>
          <w:sz w:val="22"/>
          <w:szCs w:val="22"/>
        </w:rPr>
        <w:t>Jundika</w:t>
      </w:r>
      <w:proofErr w:type="spellEnd"/>
      <w:r w:rsidRPr="00855FE9">
        <w:rPr>
          <w:rFonts w:ascii="Times New Roman" w:hAnsi="Times New Roman" w:cs="Times New Roman"/>
          <w:b/>
          <w:bCs/>
          <w:color w:val="000000" w:themeColor="text1"/>
          <w:sz w:val="22"/>
          <w:szCs w:val="22"/>
        </w:rPr>
        <w:t xml:space="preserve"> Candra Kurnia</w:t>
      </w:r>
      <w:r>
        <w:rPr>
          <w:rFonts w:ascii="Times New Roman" w:hAnsi="Times New Roman" w:cs="Times New Roman"/>
          <w:color w:val="000000" w:themeColor="text1"/>
          <w:sz w:val="22"/>
          <w:szCs w:val="22"/>
        </w:rPr>
        <w:t xml:space="preserve"> </w:t>
      </w:r>
      <w:r w:rsidR="009B37E7">
        <w:rPr>
          <w:rFonts w:ascii="Times New Roman" w:hAnsi="Times New Roman" w:cs="Times New Roman"/>
          <w:color w:val="000000" w:themeColor="text1"/>
          <w:sz w:val="22"/>
          <w:szCs w:val="22"/>
        </w:rPr>
        <w:t>presented</w:t>
      </w:r>
      <w:r>
        <w:rPr>
          <w:rFonts w:ascii="Times New Roman" w:hAnsi="Times New Roman" w:cs="Times New Roman"/>
          <w:color w:val="000000" w:themeColor="text1"/>
          <w:sz w:val="22"/>
          <w:szCs w:val="22"/>
        </w:rPr>
        <w:t xml:space="preserve"> hydrogen vehicles and their role in the global energy transition. He explained the shift from conventional internal combustion engine vehicles toward cleaner transportation technologies such as hybrid vehicles, Battery Electric Vehicles (BEVs), and hydrogen-</w:t>
      </w:r>
      <w:r w:rsidR="00855FE9">
        <w:rPr>
          <w:rFonts w:ascii="Times New Roman" w:hAnsi="Times New Roman" w:cs="Times New Roman"/>
          <w:color w:val="000000" w:themeColor="text1"/>
          <w:sz w:val="22"/>
          <w:szCs w:val="22"/>
        </w:rPr>
        <w:t>fueled</w:t>
      </w:r>
      <w:r>
        <w:rPr>
          <w:rFonts w:ascii="Times New Roman" w:hAnsi="Times New Roman" w:cs="Times New Roman"/>
          <w:color w:val="000000" w:themeColor="text1"/>
          <w:sz w:val="22"/>
          <w:szCs w:val="22"/>
        </w:rPr>
        <w:t xml:space="preserve"> vehicles. According to him, hydrogen vehicles offer advantages </w:t>
      </w:r>
      <w:r>
        <w:rPr>
          <w:rFonts w:ascii="Times New Roman" w:hAnsi="Times New Roman" w:cs="Times New Roman"/>
          <w:color w:val="000000" w:themeColor="text1"/>
          <w:sz w:val="22"/>
          <w:szCs w:val="22"/>
        </w:rPr>
        <w:lastRenderedPageBreak/>
        <w:t xml:space="preserve">such as faster </w:t>
      </w:r>
      <w:r w:rsidR="00855FE9">
        <w:rPr>
          <w:rFonts w:ascii="Times New Roman" w:hAnsi="Times New Roman" w:cs="Times New Roman"/>
          <w:color w:val="000000" w:themeColor="text1"/>
          <w:sz w:val="22"/>
          <w:szCs w:val="22"/>
        </w:rPr>
        <w:t>refueling</w:t>
      </w:r>
      <w:r>
        <w:rPr>
          <w:rFonts w:ascii="Times New Roman" w:hAnsi="Times New Roman" w:cs="Times New Roman"/>
          <w:color w:val="000000" w:themeColor="text1"/>
          <w:sz w:val="22"/>
          <w:szCs w:val="22"/>
        </w:rPr>
        <w:t xml:space="preserve"> time and longer driving range, making them especially suitable for heavy transportation. During the presentation, he compared the strengths and limitations of BEVs and hydrogen vehicles in terms of charging time, infrastructure availability, maintenance, operational costs, and driving range. He also introduced two major hydrogen vehicle technologies: Hydrogen Fuel Cell Vehicles (HFCV) and Hydrogen Internal Combustion Engine Vehicles (HICEV). HFCVs were highlighted for their higher efficiency and zero NOx e</w:t>
      </w:r>
      <w:r>
        <w:rPr>
          <w:rFonts w:ascii="Times New Roman" w:hAnsi="Times New Roman" w:cs="Times New Roman"/>
          <w:color w:val="000000" w:themeColor="text1"/>
          <w:sz w:val="22"/>
          <w:szCs w:val="22"/>
        </w:rPr>
        <w:t xml:space="preserve">missions, while HICEVs were presented as a more mature and lower-cost technology. In addition, he discussed several challenges that still hinder hydrogen vehicle adoption, including high production and infrastructure costs, limited </w:t>
      </w:r>
      <w:r w:rsidR="00FF33B0">
        <w:rPr>
          <w:rFonts w:ascii="Times New Roman" w:hAnsi="Times New Roman" w:cs="Times New Roman"/>
          <w:color w:val="000000" w:themeColor="text1"/>
          <w:sz w:val="22"/>
          <w:szCs w:val="22"/>
        </w:rPr>
        <w:t>refueling</w:t>
      </w:r>
      <w:r>
        <w:rPr>
          <w:rFonts w:ascii="Times New Roman" w:hAnsi="Times New Roman" w:cs="Times New Roman"/>
          <w:color w:val="000000" w:themeColor="text1"/>
          <w:sz w:val="22"/>
          <w:szCs w:val="22"/>
        </w:rPr>
        <w:t xml:space="preserve"> stations, storage and catalyst management issues, and regulatory gaps. To address these barriers, he proposed several integration pathways such as expanding green hydrogen production, developing hybrid battery-hydrogen systems, and strengthening regional collaboration for infrastructure development. Overall, the presentation emphasized that hydrogen mobility has strong potential to support the renewable energy transition and reduce carbon emissions in the future transportation sector.</w:t>
      </w:r>
    </w:p>
    <w:p w14:paraId="2C1502B7" w14:textId="77777777" w:rsidR="00C82E3F" w:rsidRDefault="009675E8">
      <w:pPr>
        <w:spacing w:before="60" w:after="100"/>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114300" distR="114300" wp14:anchorId="08D55C8C" wp14:editId="7C4C0AF9">
            <wp:extent cx="5266690" cy="2962910"/>
            <wp:effectExtent l="0" t="0" r="10160" b="8890"/>
            <wp:docPr id="5" name="Picture 5" descr="Dr. Jundika Candra Kurn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r. Jundika Candra Kurnia [3]"/>
                    <pic:cNvPicPr>
                      <a:picLocks noChangeAspect="1"/>
                    </pic:cNvPicPr>
                  </pic:nvPicPr>
                  <pic:blipFill>
                    <a:blip r:embed="rId10"/>
                    <a:stretch>
                      <a:fillRect/>
                    </a:stretch>
                  </pic:blipFill>
                  <pic:spPr>
                    <a:xfrm>
                      <a:off x="0" y="0"/>
                      <a:ext cx="5266690" cy="2962910"/>
                    </a:xfrm>
                    <a:prstGeom prst="rect">
                      <a:avLst/>
                    </a:prstGeom>
                  </pic:spPr>
                </pic:pic>
              </a:graphicData>
            </a:graphic>
          </wp:inline>
        </w:drawing>
      </w:r>
    </w:p>
    <w:p w14:paraId="3D15F096" w14:textId="77777777" w:rsidR="00C82E3F" w:rsidRDefault="00C82E3F">
      <w:pPr>
        <w:spacing w:before="60" w:after="100"/>
        <w:jc w:val="both"/>
        <w:rPr>
          <w:rFonts w:ascii="Times New Roman" w:hAnsi="Times New Roman" w:cs="Times New Roman"/>
          <w:color w:val="000000" w:themeColor="text1"/>
          <w:sz w:val="22"/>
          <w:szCs w:val="22"/>
        </w:rPr>
      </w:pPr>
    </w:p>
    <w:p w14:paraId="0DBB769F"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Speaker: Dr. Lusi </w:t>
      </w:r>
      <w:proofErr w:type="spellStart"/>
      <w:r>
        <w:rPr>
          <w:rFonts w:ascii="Times New Roman" w:hAnsi="Times New Roman" w:cs="Times New Roman"/>
          <w:color w:val="000000" w:themeColor="text1"/>
          <w:sz w:val="22"/>
          <w:szCs w:val="22"/>
        </w:rPr>
        <w:t>Safriani</w:t>
      </w:r>
      <w:proofErr w:type="spellEnd"/>
    </w:p>
    <w:p w14:paraId="6BC27A37"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Associate Professor in Department of Physics, Universitas </w:t>
      </w:r>
      <w:proofErr w:type="spellStart"/>
      <w:r>
        <w:rPr>
          <w:rFonts w:ascii="Times New Roman" w:hAnsi="Times New Roman" w:cs="Times New Roman"/>
          <w:color w:val="000000" w:themeColor="text1"/>
          <w:sz w:val="22"/>
          <w:szCs w:val="22"/>
        </w:rPr>
        <w:t>Padjadjaran</w:t>
      </w:r>
      <w:proofErr w:type="spellEnd"/>
    </w:p>
    <w:p w14:paraId="1ED782A0" w14:textId="77777777" w:rsidR="00C82E3F" w:rsidRDefault="009675E8" w:rsidP="00FF33B0">
      <w:pPr>
        <w:spacing w:before="60" w:after="100" w:line="360" w:lineRule="auto"/>
        <w:jc w:val="both"/>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 xml:space="preserve">Topic: </w:t>
      </w:r>
      <w:r>
        <w:rPr>
          <w:rFonts w:ascii="Times New Roman" w:hAnsi="Times New Roman" w:cs="Times New Roman"/>
          <w:b/>
          <w:bCs/>
          <w:color w:val="000000" w:themeColor="text1"/>
          <w:sz w:val="22"/>
          <w:szCs w:val="22"/>
        </w:rPr>
        <w:t>Innovative Energy Materials: Unlocking Solar Efficiency and Energy Storage</w:t>
      </w:r>
    </w:p>
    <w:p w14:paraId="4CBAE44E" w14:textId="77777777" w:rsidR="00C82E3F" w:rsidRDefault="009675E8" w:rsidP="00FF33B0">
      <w:pPr>
        <w:spacing w:before="60" w:after="100" w:line="360" w:lineRule="auto"/>
        <w:jc w:val="both"/>
        <w:rPr>
          <w:rFonts w:ascii="Times New Roman" w:hAnsi="Times New Roman" w:cs="Times New Roman"/>
          <w:color w:val="000000" w:themeColor="text1"/>
          <w:sz w:val="22"/>
          <w:szCs w:val="22"/>
        </w:rPr>
      </w:pPr>
      <w:r w:rsidRPr="00855FE9">
        <w:rPr>
          <w:rFonts w:ascii="Times New Roman" w:hAnsi="Times New Roman" w:cs="Times New Roman"/>
          <w:b/>
          <w:bCs/>
          <w:color w:val="000000" w:themeColor="text1"/>
          <w:sz w:val="22"/>
          <w:szCs w:val="22"/>
        </w:rPr>
        <w:t xml:space="preserve">Dr. Lusi </w:t>
      </w:r>
      <w:proofErr w:type="spellStart"/>
      <w:r w:rsidRPr="00855FE9">
        <w:rPr>
          <w:rFonts w:ascii="Times New Roman" w:hAnsi="Times New Roman" w:cs="Times New Roman"/>
          <w:b/>
          <w:bCs/>
          <w:color w:val="000000" w:themeColor="text1"/>
          <w:sz w:val="22"/>
          <w:szCs w:val="22"/>
        </w:rPr>
        <w:t>Safriani</w:t>
      </w:r>
      <w:proofErr w:type="spellEnd"/>
      <w:r>
        <w:rPr>
          <w:rFonts w:ascii="Times New Roman" w:hAnsi="Times New Roman" w:cs="Times New Roman"/>
          <w:color w:val="000000" w:themeColor="text1"/>
          <w:sz w:val="22"/>
          <w:szCs w:val="22"/>
        </w:rPr>
        <w:t xml:space="preserve"> from Universitas </w:t>
      </w:r>
      <w:proofErr w:type="spellStart"/>
      <w:r>
        <w:rPr>
          <w:rFonts w:ascii="Times New Roman" w:hAnsi="Times New Roman" w:cs="Times New Roman"/>
          <w:color w:val="000000" w:themeColor="text1"/>
          <w:sz w:val="22"/>
          <w:szCs w:val="22"/>
        </w:rPr>
        <w:t>Padjadjaran</w:t>
      </w:r>
      <w:proofErr w:type="spellEnd"/>
      <w:r>
        <w:rPr>
          <w:rFonts w:ascii="Times New Roman" w:hAnsi="Times New Roman" w:cs="Times New Roman"/>
          <w:color w:val="000000" w:themeColor="text1"/>
          <w:sz w:val="22"/>
          <w:szCs w:val="22"/>
        </w:rPr>
        <w:t xml:space="preserve"> presented an interesting discussion about solar power technology and the development of Dye-Sensitized Solar Cells (DSSC) as an alternative renewable energy source. The presentation emphasized the importance of solar energy as a clean, renewable, and environmentally friendly energy solution that has strong </w:t>
      </w:r>
      <w:r>
        <w:rPr>
          <w:rFonts w:ascii="Times New Roman" w:hAnsi="Times New Roman" w:cs="Times New Roman"/>
          <w:color w:val="000000" w:themeColor="text1"/>
          <w:sz w:val="22"/>
          <w:szCs w:val="22"/>
        </w:rPr>
        <w:lastRenderedPageBreak/>
        <w:t>potential for long-term sustainability. She explained that DSSC is a third-generation solar cell technology designed to imitate the natural process of photosynthesis in conve</w:t>
      </w:r>
      <w:r>
        <w:rPr>
          <w:rFonts w:ascii="Times New Roman" w:hAnsi="Times New Roman" w:cs="Times New Roman"/>
          <w:color w:val="000000" w:themeColor="text1"/>
          <w:sz w:val="22"/>
          <w:szCs w:val="22"/>
        </w:rPr>
        <w:t>rting sunlight into electrical energy. Compared to conventional solar cells, DSSC offers several advantages such as lower production costs, better performance under low light conditions, wider light absorption angles, and longer operational durability. During the presentation, she also discussed the use of Zinc Oxide (</w:t>
      </w:r>
      <w:proofErr w:type="spellStart"/>
      <w:r>
        <w:rPr>
          <w:rFonts w:ascii="Times New Roman" w:hAnsi="Times New Roman" w:cs="Times New Roman"/>
          <w:color w:val="000000" w:themeColor="text1"/>
          <w:sz w:val="22"/>
          <w:szCs w:val="22"/>
        </w:rPr>
        <w:t>ZnO</w:t>
      </w:r>
      <w:proofErr w:type="spellEnd"/>
      <w:r>
        <w:rPr>
          <w:rFonts w:ascii="Times New Roman" w:hAnsi="Times New Roman" w:cs="Times New Roman"/>
          <w:color w:val="000000" w:themeColor="text1"/>
          <w:sz w:val="22"/>
          <w:szCs w:val="22"/>
        </w:rPr>
        <w:t>) and Reduced Graphene Oxide (</w:t>
      </w:r>
      <w:proofErr w:type="spellStart"/>
      <w:r>
        <w:rPr>
          <w:rFonts w:ascii="Times New Roman" w:hAnsi="Times New Roman" w:cs="Times New Roman"/>
          <w:color w:val="000000" w:themeColor="text1"/>
          <w:sz w:val="22"/>
          <w:szCs w:val="22"/>
        </w:rPr>
        <w:t>rGO</w:t>
      </w:r>
      <w:proofErr w:type="spellEnd"/>
      <w:r>
        <w:rPr>
          <w:rFonts w:ascii="Times New Roman" w:hAnsi="Times New Roman" w:cs="Times New Roman"/>
          <w:color w:val="000000" w:themeColor="text1"/>
          <w:sz w:val="22"/>
          <w:szCs w:val="22"/>
        </w:rPr>
        <w:t xml:space="preserve">) materials to improve DSSC performance. The addition of </w:t>
      </w:r>
      <w:proofErr w:type="spellStart"/>
      <w:r>
        <w:rPr>
          <w:rFonts w:ascii="Times New Roman" w:hAnsi="Times New Roman" w:cs="Times New Roman"/>
          <w:color w:val="000000" w:themeColor="text1"/>
          <w:sz w:val="22"/>
          <w:szCs w:val="22"/>
        </w:rPr>
        <w:t>rGO</w:t>
      </w:r>
      <w:proofErr w:type="spellEnd"/>
      <w:r>
        <w:rPr>
          <w:rFonts w:ascii="Times New Roman" w:hAnsi="Times New Roman" w:cs="Times New Roman"/>
          <w:color w:val="000000" w:themeColor="text1"/>
          <w:sz w:val="22"/>
          <w:szCs w:val="22"/>
        </w:rPr>
        <w:t xml:space="preserve"> layers helps accelerate electron transfer and reduce electron recombination, which can increase</w:t>
      </w:r>
      <w:r>
        <w:rPr>
          <w:rFonts w:ascii="Times New Roman" w:hAnsi="Times New Roman" w:cs="Times New Roman"/>
          <w:color w:val="000000" w:themeColor="text1"/>
          <w:sz w:val="22"/>
          <w:szCs w:val="22"/>
        </w:rPr>
        <w:t xml:space="preserve"> the efficiency of the solar cell system. In addition, the presentation described the fabrication and testing process of DSSC, including substrate preparation, </w:t>
      </w:r>
      <w:proofErr w:type="spellStart"/>
      <w:r>
        <w:rPr>
          <w:rFonts w:ascii="Times New Roman" w:hAnsi="Times New Roman" w:cs="Times New Roman"/>
          <w:color w:val="000000" w:themeColor="text1"/>
          <w:sz w:val="22"/>
          <w:szCs w:val="22"/>
        </w:rPr>
        <w:t>rGO</w:t>
      </w:r>
      <w:proofErr w:type="spellEnd"/>
      <w:r>
        <w:rPr>
          <w:rFonts w:ascii="Times New Roman" w:hAnsi="Times New Roman" w:cs="Times New Roman"/>
          <w:color w:val="000000" w:themeColor="text1"/>
          <w:sz w:val="22"/>
          <w:szCs w:val="22"/>
        </w:rPr>
        <w:t xml:space="preserve"> deposition, UV-oven treatment, and performance analysis using UV-</w:t>
      </w:r>
      <w:proofErr w:type="gramStart"/>
      <w:r>
        <w:rPr>
          <w:rFonts w:ascii="Times New Roman" w:hAnsi="Times New Roman" w:cs="Times New Roman"/>
          <w:color w:val="000000" w:themeColor="text1"/>
          <w:sz w:val="22"/>
          <w:szCs w:val="22"/>
        </w:rPr>
        <w:t>Vis</w:t>
      </w:r>
      <w:proofErr w:type="gramEnd"/>
      <w:r>
        <w:rPr>
          <w:rFonts w:ascii="Times New Roman" w:hAnsi="Times New Roman" w:cs="Times New Roman"/>
          <w:color w:val="000000" w:themeColor="text1"/>
          <w:sz w:val="22"/>
          <w:szCs w:val="22"/>
        </w:rPr>
        <w:t xml:space="preserve"> spectroscopy and photocurrent density-voltage testing. Overall, the presentation showed how advanced solar cell technologies can contribute to renewable energy development and support a more sustainable energy transition in the future.</w:t>
      </w:r>
    </w:p>
    <w:p w14:paraId="7D9BAED4" w14:textId="77777777" w:rsidR="00855FE9" w:rsidRDefault="00855FE9" w:rsidP="00FF33B0">
      <w:pPr>
        <w:spacing w:before="60" w:after="100" w:line="360" w:lineRule="auto"/>
        <w:jc w:val="both"/>
        <w:rPr>
          <w:rFonts w:ascii="Times New Roman" w:hAnsi="Times New Roman" w:cs="Times New Roman"/>
          <w:color w:val="000000" w:themeColor="text1"/>
          <w:sz w:val="22"/>
          <w:szCs w:val="22"/>
        </w:rPr>
      </w:pPr>
    </w:p>
    <w:p w14:paraId="38D5564F" w14:textId="77777777" w:rsidR="00C82E3F" w:rsidRDefault="009675E8">
      <w:pPr>
        <w:spacing w:before="60" w:after="100"/>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114300" distR="114300" wp14:anchorId="0C4DE16E" wp14:editId="22CDECE3">
            <wp:extent cx="5266690" cy="2962910"/>
            <wp:effectExtent l="0" t="0" r="10160" b="8890"/>
            <wp:docPr id="6" name="Picture 6" descr="Dr. Lusi Safrian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r. Lusi Safriani [3]"/>
                    <pic:cNvPicPr>
                      <a:picLocks noChangeAspect="1"/>
                    </pic:cNvPicPr>
                  </pic:nvPicPr>
                  <pic:blipFill>
                    <a:blip r:embed="rId11"/>
                    <a:stretch>
                      <a:fillRect/>
                    </a:stretch>
                  </pic:blipFill>
                  <pic:spPr>
                    <a:xfrm>
                      <a:off x="0" y="0"/>
                      <a:ext cx="5266690" cy="2962910"/>
                    </a:xfrm>
                    <a:prstGeom prst="rect">
                      <a:avLst/>
                    </a:prstGeom>
                  </pic:spPr>
                </pic:pic>
              </a:graphicData>
            </a:graphic>
          </wp:inline>
        </w:drawing>
      </w:r>
    </w:p>
    <w:p w14:paraId="6B5CE399" w14:textId="77777777" w:rsidR="00C82E3F" w:rsidRDefault="00C82E3F">
      <w:pPr>
        <w:spacing w:before="60" w:after="100"/>
        <w:jc w:val="both"/>
        <w:rPr>
          <w:rFonts w:ascii="Times New Roman" w:hAnsi="Times New Roman" w:cs="Times New Roman"/>
          <w:color w:val="000000" w:themeColor="text1"/>
          <w:sz w:val="22"/>
          <w:szCs w:val="22"/>
        </w:rPr>
      </w:pPr>
    </w:p>
    <w:p w14:paraId="659448AF" w14:textId="77777777" w:rsidR="00C82E3F" w:rsidRDefault="00C82E3F">
      <w:pPr>
        <w:jc w:val="both"/>
        <w:rPr>
          <w:rFonts w:ascii="Times New Roman" w:hAnsi="Times New Roman" w:cs="Times New Roman"/>
          <w:color w:val="000000" w:themeColor="text1"/>
          <w:sz w:val="22"/>
          <w:szCs w:val="22"/>
        </w:rPr>
      </w:pPr>
    </w:p>
    <w:sectPr w:rsidR="00C82E3F">
      <w:footerReference w:type="default" r:id="rId1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FC02" w14:textId="77777777" w:rsidR="009675E8" w:rsidRDefault="009675E8" w:rsidP="00A82543">
      <w:r>
        <w:separator/>
      </w:r>
    </w:p>
  </w:endnote>
  <w:endnote w:type="continuationSeparator" w:id="0">
    <w:p w14:paraId="354248F9" w14:textId="77777777" w:rsidR="009675E8" w:rsidRDefault="009675E8" w:rsidP="00A8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650030"/>
      <w:docPartObj>
        <w:docPartGallery w:val="Page Numbers (Bottom of Page)"/>
        <w:docPartUnique/>
      </w:docPartObj>
    </w:sdtPr>
    <w:sdtEndPr>
      <w:rPr>
        <w:noProof/>
      </w:rPr>
    </w:sdtEndPr>
    <w:sdtContent>
      <w:p w14:paraId="73E87A7D" w14:textId="54C4F4AE" w:rsidR="00A82543" w:rsidRDefault="00A825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0EFC1D" w14:textId="77777777" w:rsidR="00A82543" w:rsidRDefault="00A82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DEF20" w14:textId="77777777" w:rsidR="009675E8" w:rsidRDefault="009675E8" w:rsidP="00A82543">
      <w:r>
        <w:separator/>
      </w:r>
    </w:p>
  </w:footnote>
  <w:footnote w:type="continuationSeparator" w:id="0">
    <w:p w14:paraId="17DFF327" w14:textId="77777777" w:rsidR="009675E8" w:rsidRDefault="009675E8" w:rsidP="00A825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CA60A14"/>
    <w:rsid w:val="00182515"/>
    <w:rsid w:val="003E702A"/>
    <w:rsid w:val="004070BE"/>
    <w:rsid w:val="00855FE9"/>
    <w:rsid w:val="009675E8"/>
    <w:rsid w:val="00991E01"/>
    <w:rsid w:val="009B37E7"/>
    <w:rsid w:val="00A82543"/>
    <w:rsid w:val="00C428E7"/>
    <w:rsid w:val="00C82E3F"/>
    <w:rsid w:val="00FF33B0"/>
    <w:rsid w:val="4CA60A14"/>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87259"/>
  <w15:docId w15:val="{732CC583-A8D8-46E9-9947-8B34FEC7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rFonts w:cs="Arial Unicode MS"/>
      <w:sz w:val="24"/>
      <w:szCs w:val="24"/>
      <w:lang w:eastAsia="zh-CN"/>
    </w:rPr>
  </w:style>
  <w:style w:type="paragraph" w:styleId="Header">
    <w:name w:val="header"/>
    <w:basedOn w:val="Normal"/>
    <w:link w:val="HeaderChar"/>
    <w:rsid w:val="00A82543"/>
    <w:pPr>
      <w:tabs>
        <w:tab w:val="center" w:pos="4680"/>
        <w:tab w:val="right" w:pos="9360"/>
      </w:tabs>
    </w:pPr>
  </w:style>
  <w:style w:type="character" w:customStyle="1" w:styleId="HeaderChar">
    <w:name w:val="Header Char"/>
    <w:basedOn w:val="DefaultParagraphFont"/>
    <w:link w:val="Header"/>
    <w:rsid w:val="00A82543"/>
    <w:rPr>
      <w:rFonts w:asciiTheme="minorHAnsi" w:eastAsiaTheme="minorEastAsia" w:hAnsiTheme="minorHAnsi" w:cstheme="minorBidi"/>
      <w:lang w:eastAsia="zh-CN" w:bidi="ar-SA"/>
    </w:rPr>
  </w:style>
  <w:style w:type="paragraph" w:styleId="Footer">
    <w:name w:val="footer"/>
    <w:basedOn w:val="Normal"/>
    <w:link w:val="FooterChar"/>
    <w:uiPriority w:val="99"/>
    <w:rsid w:val="00A82543"/>
    <w:pPr>
      <w:tabs>
        <w:tab w:val="center" w:pos="4680"/>
        <w:tab w:val="right" w:pos="9360"/>
      </w:tabs>
    </w:pPr>
  </w:style>
  <w:style w:type="character" w:customStyle="1" w:styleId="FooterChar">
    <w:name w:val="Footer Char"/>
    <w:basedOn w:val="DefaultParagraphFont"/>
    <w:link w:val="Footer"/>
    <w:uiPriority w:val="99"/>
    <w:rsid w:val="00A82543"/>
    <w:rPr>
      <w:rFonts w:asciiTheme="minorHAnsi" w:eastAsiaTheme="minorEastAsia" w:hAnsiTheme="minorHAnsi" w:cstheme="minorBidi"/>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1328</Words>
  <Characters>7571</Characters>
  <Application>Microsoft Office Word</Application>
  <DocSecurity>0</DocSecurity>
  <Lines>63</Lines>
  <Paragraphs>17</Paragraphs>
  <ScaleCrop>false</ScaleCrop>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melodia priyotomo</dc:creator>
  <cp:lastModifiedBy>AI Songheang</cp:lastModifiedBy>
  <cp:revision>2</cp:revision>
  <dcterms:created xsi:type="dcterms:W3CDTF">2026-05-12T06:36:00Z</dcterms:created>
  <dcterms:modified xsi:type="dcterms:W3CDTF">2026-05-12T06:36:00Z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6E89F15D48C84952B67C255096F60406_11</vt:lpwstr>
  </property>
  <property fmtid="{D5CDD505-2E9C-101B-9397-08002B2CF9AE}" pid="4" name="KSOTemplateDocerSaveRecord">
    <vt:lpwstr>eyJoZGlkIjoiYjZkYTRiMDY5ZDZhMmY2NmM3NGY0MWM2M2UxNmEyNzgiLCJ1c2VySWQiOiI5NjIwNzU3Mzc1MjcifQ==</vt:lpwstr>
  </property>
</Properties>
</file>