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BDA0C" w14:textId="6E261152" w:rsidR="000B5F1E" w:rsidRPr="00E54EEA" w:rsidRDefault="000B5F1E" w:rsidP="00E54EEA">
      <w:pPr>
        <w:spacing w:after="0" w:line="360" w:lineRule="auto"/>
        <w:jc w:val="center"/>
        <w:rPr>
          <w:rFonts w:ascii="Times New Roman" w:hAnsi="Times New Roman" w:cs="Times New Roman"/>
          <w:b/>
          <w:bCs/>
          <w:color w:val="000000" w:themeColor="text1"/>
          <w:sz w:val="24"/>
          <w:szCs w:val="24"/>
        </w:rPr>
      </w:pPr>
      <w:r w:rsidRPr="00E54EEA">
        <w:rPr>
          <w:rFonts w:ascii="Times New Roman" w:hAnsi="Times New Roman" w:cs="Times New Roman"/>
          <w:b/>
          <w:bCs/>
          <w:color w:val="000000" w:themeColor="text1"/>
          <w:sz w:val="24"/>
          <w:szCs w:val="24"/>
        </w:rPr>
        <w:t xml:space="preserve">International Experts Sharing Forum on </w:t>
      </w:r>
    </w:p>
    <w:p w14:paraId="75316B83" w14:textId="052D58CA" w:rsidR="000B5F1E" w:rsidRDefault="000B5F1E" w:rsidP="00E54EEA">
      <w:pPr>
        <w:spacing w:after="0" w:line="360" w:lineRule="auto"/>
        <w:jc w:val="center"/>
        <w:rPr>
          <w:rFonts w:ascii="Times New Roman" w:hAnsi="Times New Roman" w:cs="Times New Roman"/>
          <w:b/>
          <w:bCs/>
          <w:color w:val="000000" w:themeColor="text1"/>
          <w:sz w:val="24"/>
          <w:szCs w:val="24"/>
        </w:rPr>
      </w:pPr>
      <w:r w:rsidRPr="00E54EEA">
        <w:rPr>
          <w:rFonts w:ascii="Times New Roman" w:hAnsi="Times New Roman" w:cs="Times New Roman"/>
          <w:b/>
          <w:bCs/>
          <w:color w:val="000000" w:themeColor="text1"/>
          <w:sz w:val="24"/>
          <w:szCs w:val="24"/>
        </w:rPr>
        <w:t>“Regional Cooperation &amp; Mobility for Youth Skills Development”</w:t>
      </w:r>
    </w:p>
    <w:p w14:paraId="7E8FAFBF" w14:textId="2705A0D2" w:rsidR="00E54EEA" w:rsidRPr="00E54EEA" w:rsidRDefault="00E54EEA" w:rsidP="00E54EEA">
      <w:pPr>
        <w:spacing w:after="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July 3, 2026 (Online)</w:t>
      </w:r>
    </w:p>
    <w:p w14:paraId="30EFFFE7" w14:textId="77777777" w:rsidR="000B5F1E" w:rsidRDefault="000B5F1E" w:rsidP="00575E36">
      <w:pPr>
        <w:jc w:val="both"/>
        <w:rPr>
          <w:rFonts w:ascii="Times New Roman" w:hAnsi="Times New Roman" w:cs="Times New Roman"/>
          <w:color w:val="000000" w:themeColor="text1"/>
          <w:sz w:val="21"/>
          <w:szCs w:val="21"/>
        </w:rPr>
      </w:pPr>
    </w:p>
    <w:p w14:paraId="4BB47534" w14:textId="06ED6272" w:rsidR="00575E36" w:rsidRPr="00E54EEA" w:rsidRDefault="00575E36" w:rsidP="00E54EEA">
      <w:pPr>
        <w:spacing w:line="360" w:lineRule="auto"/>
        <w:jc w:val="both"/>
        <w:rPr>
          <w:rFonts w:ascii="Times New Roman" w:hAnsi="Times New Roman" w:cs="Times New Roman"/>
          <w:color w:val="000000" w:themeColor="text1"/>
          <w:sz w:val="24"/>
          <w:szCs w:val="24"/>
        </w:rPr>
      </w:pPr>
      <w:r w:rsidRPr="00E54EEA">
        <w:rPr>
          <w:rFonts w:ascii="Times New Roman" w:hAnsi="Times New Roman" w:cs="Times New Roman"/>
          <w:i/>
          <w:iCs/>
          <w:color w:val="000000" w:themeColor="text1"/>
          <w:sz w:val="24"/>
          <w:szCs w:val="24"/>
        </w:rPr>
        <w:t>July 3, 2026</w:t>
      </w:r>
      <w:r w:rsidR="00E54EEA" w:rsidRPr="00E54EEA">
        <w:rPr>
          <w:rFonts w:ascii="Times New Roman" w:hAnsi="Times New Roman" w:cs="Times New Roman"/>
          <w:color w:val="000000" w:themeColor="text1"/>
          <w:sz w:val="24"/>
          <w:szCs w:val="24"/>
        </w:rPr>
        <w:t>:</w:t>
      </w:r>
      <w:r w:rsidRPr="00E54EEA">
        <w:rPr>
          <w:rFonts w:ascii="Times New Roman" w:hAnsi="Times New Roman" w:cs="Times New Roman"/>
          <w:color w:val="000000" w:themeColor="text1"/>
          <w:sz w:val="24"/>
          <w:szCs w:val="24"/>
        </w:rPr>
        <w:t xml:space="preserve"> the 7th session of the “International Experts Sharing </w:t>
      </w:r>
      <w:r w:rsidR="00E54EEA" w:rsidRPr="00E54EEA">
        <w:rPr>
          <w:rFonts w:ascii="Times New Roman" w:hAnsi="Times New Roman" w:cs="Times New Roman"/>
          <w:color w:val="000000" w:themeColor="text1"/>
          <w:sz w:val="24"/>
          <w:szCs w:val="24"/>
        </w:rPr>
        <w:t>Forum</w:t>
      </w:r>
      <w:r w:rsidRPr="00E54EEA">
        <w:rPr>
          <w:rFonts w:ascii="Times New Roman" w:hAnsi="Times New Roman" w:cs="Times New Roman"/>
          <w:color w:val="000000" w:themeColor="text1"/>
          <w:sz w:val="24"/>
          <w:szCs w:val="24"/>
        </w:rPr>
        <w:t xml:space="preserve">,” jointly organized by the China-ASEAN Technical Education Cooperation Platform (CATECP), the Southeast Asian Ministers of Education Organization Regional Centre for Technical Education Development (SEAMEO TED), and Go Study Global Education, was successfully concluded online. The meeting was attended by </w:t>
      </w:r>
      <w:r w:rsidR="000F43C7" w:rsidRPr="00E54EEA">
        <w:rPr>
          <w:rFonts w:ascii="Times New Roman" w:hAnsi="Times New Roman" w:cs="Times New Roman"/>
          <w:color w:val="000000" w:themeColor="text1"/>
          <w:sz w:val="24"/>
          <w:szCs w:val="24"/>
        </w:rPr>
        <w:t>53</w:t>
      </w:r>
      <w:r w:rsidR="00FC71A0" w:rsidRPr="00E54EEA">
        <w:rPr>
          <w:rFonts w:ascii="Times New Roman" w:hAnsi="Times New Roman" w:cs="Times New Roman"/>
          <w:color w:val="000000" w:themeColor="text1"/>
          <w:sz w:val="24"/>
          <w:szCs w:val="24"/>
        </w:rPr>
        <w:t xml:space="preserve"> male and 56</w:t>
      </w:r>
      <w:r w:rsidRPr="00E54EEA">
        <w:rPr>
          <w:rFonts w:ascii="Times New Roman" w:hAnsi="Times New Roman" w:cs="Times New Roman"/>
          <w:color w:val="000000" w:themeColor="text1"/>
          <w:sz w:val="24"/>
          <w:szCs w:val="24"/>
        </w:rPr>
        <w:t xml:space="preserve"> female participants, making a total of </w:t>
      </w:r>
      <w:r w:rsidR="00FC71A0" w:rsidRPr="00E54EEA">
        <w:rPr>
          <w:rFonts w:ascii="Times New Roman" w:hAnsi="Times New Roman" w:cs="Times New Roman"/>
          <w:color w:val="000000" w:themeColor="text1"/>
          <w:sz w:val="24"/>
          <w:szCs w:val="24"/>
        </w:rPr>
        <w:t xml:space="preserve">109 </w:t>
      </w:r>
      <w:r w:rsidRPr="00E54EEA">
        <w:rPr>
          <w:rFonts w:ascii="Times New Roman" w:hAnsi="Times New Roman" w:cs="Times New Roman"/>
          <w:color w:val="000000" w:themeColor="text1"/>
          <w:sz w:val="24"/>
          <w:szCs w:val="24"/>
        </w:rPr>
        <w:t>participants.</w:t>
      </w:r>
    </w:p>
    <w:p w14:paraId="763CBDAF" w14:textId="298F20F7" w:rsidR="00575E36" w:rsidRPr="00872FE2" w:rsidRDefault="00575E36" w:rsidP="00872FE2">
      <w:pPr>
        <w:spacing w:line="360" w:lineRule="auto"/>
        <w:jc w:val="both"/>
        <w:rPr>
          <w:rFonts w:ascii="Times New Roman" w:hAnsi="Times New Roman" w:cs="Times New Roman"/>
          <w:color w:val="000000" w:themeColor="text1"/>
          <w:sz w:val="24"/>
          <w:szCs w:val="24"/>
        </w:rPr>
      </w:pPr>
      <w:r w:rsidRPr="00E54EEA">
        <w:rPr>
          <w:rFonts w:ascii="Times New Roman" w:hAnsi="Times New Roman" w:cs="Times New Roman"/>
          <w:color w:val="000000" w:themeColor="text1"/>
          <w:sz w:val="24"/>
          <w:szCs w:val="24"/>
        </w:rPr>
        <w:t xml:space="preserve">Themed </w:t>
      </w:r>
      <w:r w:rsidRPr="00E54EEA">
        <w:rPr>
          <w:rFonts w:ascii="Times New Roman" w:hAnsi="Times New Roman" w:cs="Times New Roman"/>
          <w:b/>
          <w:color w:val="000000" w:themeColor="text1"/>
          <w:sz w:val="24"/>
          <w:szCs w:val="24"/>
        </w:rPr>
        <w:t>“</w:t>
      </w:r>
      <w:r w:rsidRPr="00E54EEA">
        <w:rPr>
          <w:rFonts w:ascii="Times New Roman" w:hAnsi="Times New Roman" w:cs="Times New Roman"/>
          <w:b/>
          <w:sz w:val="24"/>
          <w:szCs w:val="24"/>
        </w:rPr>
        <w:t>Regional Cooperation &amp; Mobility for Youth Skills Development</w:t>
      </w:r>
      <w:r w:rsidRPr="00E54EEA">
        <w:rPr>
          <w:rFonts w:ascii="Times New Roman" w:hAnsi="Times New Roman" w:cs="Times New Roman"/>
          <w:b/>
          <w:color w:val="000000" w:themeColor="text1"/>
          <w:sz w:val="24"/>
          <w:szCs w:val="24"/>
        </w:rPr>
        <w:t>”</w:t>
      </w:r>
      <w:r w:rsidRPr="00E54EEA">
        <w:rPr>
          <w:rFonts w:ascii="Times New Roman" w:hAnsi="Times New Roman" w:cs="Times New Roman"/>
          <w:color w:val="000000" w:themeColor="text1"/>
          <w:sz w:val="24"/>
          <w:szCs w:val="24"/>
        </w:rPr>
        <w:t xml:space="preserve">, the meeting brought together experts and scholars from Indonesia, Philippines, and Vietnam. </w:t>
      </w:r>
      <w:r w:rsidR="00E54EEA" w:rsidRPr="00E54EEA">
        <w:rPr>
          <w:rFonts w:ascii="Times New Roman" w:hAnsi="Times New Roman" w:cs="Times New Roman"/>
          <w:color w:val="000000" w:themeColor="text1"/>
          <w:sz w:val="24"/>
          <w:szCs w:val="24"/>
        </w:rPr>
        <w:t>Discussions</w:t>
      </w:r>
      <w:r w:rsidR="0096162F" w:rsidRPr="00E54EEA">
        <w:rPr>
          <w:rFonts w:ascii="Times New Roman" w:hAnsi="Times New Roman" w:cs="Times New Roman"/>
          <w:sz w:val="24"/>
          <w:szCs w:val="24"/>
        </w:rPr>
        <w:t xml:space="preserve"> focused on cross-cultural online education, boosting youth employability, understanding local cultural values, and investing in green finance. These topics were explored through keynote speeches, case studies, and interactive exchanges</w:t>
      </w:r>
      <w:r w:rsidRPr="00E54EEA">
        <w:rPr>
          <w:rFonts w:ascii="Times New Roman" w:hAnsi="Times New Roman" w:cs="Times New Roman"/>
          <w:color w:val="000000" w:themeColor="text1"/>
          <w:sz w:val="24"/>
          <w:szCs w:val="24"/>
        </w:rPr>
        <w:t>. These topics were explored through keynote speeches, case studies, and interactive exchanges.</w:t>
      </w:r>
    </w:p>
    <w:p w14:paraId="1345CF86" w14:textId="77777777" w:rsidR="00575E36" w:rsidRDefault="00575E36" w:rsidP="00575E36">
      <w:pPr>
        <w:jc w:val="center"/>
        <w:rPr>
          <w:rFonts w:ascii="Times New Roman" w:hAnsi="Times New Roman" w:cs="Times New Roman"/>
          <w:color w:val="000000" w:themeColor="text1"/>
          <w:szCs w:val="21"/>
        </w:rPr>
      </w:pPr>
      <w:r>
        <w:rPr>
          <w:rFonts w:hint="eastAsia"/>
          <w:noProof/>
          <w:color w:val="000000" w:themeColor="text1"/>
          <w:szCs w:val="21"/>
        </w:rPr>
        <w:drawing>
          <wp:inline distT="0" distB="0" distL="114300" distR="114300" wp14:anchorId="55B3B009" wp14:editId="1A5AB55C">
            <wp:extent cx="2555631" cy="3615243"/>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gscolinling/Desktop/【讲座上线网站】标准材料文件包 /5、讲座的海报或者背景图片600*400/海报.png海报"/>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63184" cy="3625928"/>
                    </a:xfrm>
                    <a:prstGeom prst="rect">
                      <a:avLst/>
                    </a:prstGeom>
                  </pic:spPr>
                </pic:pic>
              </a:graphicData>
            </a:graphic>
          </wp:inline>
        </w:drawing>
      </w:r>
    </w:p>
    <w:p w14:paraId="7836FF59" w14:textId="77777777" w:rsidR="00575E36" w:rsidRDefault="00575E36" w:rsidP="00575E36">
      <w:pPr>
        <w:rPr>
          <w:rFonts w:ascii="Times New Roman" w:hAnsi="Times New Roman" w:cs="Times New Roman"/>
          <w:color w:val="000000" w:themeColor="text1"/>
          <w:szCs w:val="21"/>
        </w:rPr>
      </w:pPr>
    </w:p>
    <w:p w14:paraId="6D0342AB" w14:textId="3D7375D5" w:rsidR="00575E36" w:rsidRPr="00120FED" w:rsidRDefault="00575E36" w:rsidP="00120FED">
      <w:pPr>
        <w:spacing w:line="360" w:lineRule="auto"/>
        <w:jc w:val="both"/>
        <w:rPr>
          <w:rFonts w:ascii="Times New Roman" w:hAnsi="Times New Roman" w:cs="Times New Roman"/>
          <w:color w:val="000000" w:themeColor="text1"/>
          <w:sz w:val="24"/>
          <w:szCs w:val="24"/>
        </w:rPr>
      </w:pPr>
      <w:r w:rsidRPr="00137B66">
        <w:rPr>
          <w:rFonts w:ascii="Times New Roman" w:hAnsi="Times New Roman" w:cs="Times New Roman"/>
          <w:b/>
          <w:bCs/>
          <w:color w:val="000000" w:themeColor="text1"/>
          <w:sz w:val="24"/>
          <w:szCs w:val="24"/>
        </w:rPr>
        <w:lastRenderedPageBreak/>
        <w:t xml:space="preserve">Dr. Yoga </w:t>
      </w:r>
      <w:proofErr w:type="spellStart"/>
      <w:r w:rsidRPr="00137B66">
        <w:rPr>
          <w:rFonts w:ascii="Times New Roman" w:hAnsi="Times New Roman" w:cs="Times New Roman"/>
          <w:b/>
          <w:bCs/>
          <w:color w:val="000000" w:themeColor="text1"/>
          <w:sz w:val="24"/>
          <w:szCs w:val="24"/>
        </w:rPr>
        <w:t>Prihatin</w:t>
      </w:r>
      <w:proofErr w:type="spellEnd"/>
      <w:r w:rsidR="00120FED" w:rsidRPr="00120FED">
        <w:rPr>
          <w:rFonts w:ascii="Times New Roman" w:hAnsi="Times New Roman" w:cs="Times New Roman"/>
          <w:color w:val="000000" w:themeColor="text1"/>
          <w:sz w:val="24"/>
          <w:szCs w:val="24"/>
        </w:rPr>
        <w:t xml:space="preserve">, </w:t>
      </w:r>
      <w:r w:rsidRPr="00120FED">
        <w:rPr>
          <w:rFonts w:ascii="Times New Roman" w:hAnsi="Times New Roman" w:cs="Times New Roman"/>
          <w:sz w:val="24"/>
          <w:szCs w:val="24"/>
        </w:rPr>
        <w:t xml:space="preserve">Dean, Teacher Training and Education Faculty, Universitas </w:t>
      </w:r>
      <w:proofErr w:type="spellStart"/>
      <w:r w:rsidRPr="00120FED">
        <w:rPr>
          <w:rFonts w:ascii="Times New Roman" w:hAnsi="Times New Roman" w:cs="Times New Roman"/>
          <w:sz w:val="24"/>
          <w:szCs w:val="24"/>
        </w:rPr>
        <w:t>Pancasakti</w:t>
      </w:r>
      <w:proofErr w:type="spellEnd"/>
      <w:r w:rsidRPr="00120FED">
        <w:rPr>
          <w:rFonts w:ascii="Times New Roman" w:hAnsi="Times New Roman" w:cs="Times New Roman"/>
          <w:sz w:val="24"/>
          <w:szCs w:val="24"/>
        </w:rPr>
        <w:t xml:space="preserve"> Tegal, Indonesia</w:t>
      </w:r>
      <w:r w:rsidR="00120FED" w:rsidRPr="00120FED">
        <w:rPr>
          <w:rFonts w:ascii="Times New Roman" w:hAnsi="Times New Roman" w:cs="Times New Roman"/>
          <w:sz w:val="24"/>
          <w:szCs w:val="24"/>
        </w:rPr>
        <w:t xml:space="preserve">, shared </w:t>
      </w:r>
      <w:r w:rsidR="00120FED" w:rsidRPr="00120FED">
        <w:rPr>
          <w:rFonts w:ascii="Times New Roman" w:hAnsi="Times New Roman" w:cs="Times New Roman"/>
          <w:color w:val="000000" w:themeColor="text1"/>
          <w:sz w:val="24"/>
          <w:szCs w:val="24"/>
        </w:rPr>
        <w:t>the t</w:t>
      </w:r>
      <w:r w:rsidRPr="00120FED">
        <w:rPr>
          <w:rFonts w:ascii="Times New Roman" w:hAnsi="Times New Roman" w:cs="Times New Roman"/>
          <w:color w:val="000000" w:themeColor="text1"/>
          <w:sz w:val="24"/>
          <w:szCs w:val="24"/>
        </w:rPr>
        <w:t xml:space="preserve">opic: </w:t>
      </w:r>
      <w:r w:rsidRPr="00120FED">
        <w:rPr>
          <w:rFonts w:ascii="Times New Roman" w:eastAsia="Times New Roman" w:hAnsi="Times New Roman" w:cs="Times New Roman"/>
          <w:bCs/>
          <w:sz w:val="24"/>
          <w:szCs w:val="24"/>
        </w:rPr>
        <w:t>From Comprehension Gaps to Collaborative Competence: Preparing Youth for Regional Skills Mobility</w:t>
      </w:r>
      <w:r w:rsidR="00120FED" w:rsidRPr="00120FED">
        <w:rPr>
          <w:rFonts w:ascii="Times New Roman" w:eastAsia="Times New Roman" w:hAnsi="Times New Roman" w:cs="Times New Roman"/>
          <w:bCs/>
          <w:sz w:val="24"/>
          <w:szCs w:val="24"/>
        </w:rPr>
        <w:t>.</w:t>
      </w:r>
      <w:r w:rsidR="00120FED" w:rsidRPr="00120FED">
        <w:rPr>
          <w:rFonts w:ascii="Times New Roman" w:eastAsia="Times New Roman" w:hAnsi="Times New Roman" w:cs="Times New Roman"/>
          <w:b/>
          <w:sz w:val="24"/>
          <w:szCs w:val="24"/>
        </w:rPr>
        <w:t xml:space="preserve"> </w:t>
      </w:r>
      <w:r w:rsidRPr="00120FED">
        <w:rPr>
          <w:rFonts w:ascii="Times New Roman" w:hAnsi="Times New Roman" w:cs="Times New Roman"/>
          <w:b/>
          <w:bCs/>
          <w:sz w:val="24"/>
          <w:szCs w:val="24"/>
        </w:rPr>
        <w:t>Dr. Yoga</w:t>
      </w:r>
      <w:r w:rsidRPr="00120FED">
        <w:rPr>
          <w:rFonts w:ascii="Times New Roman" w:hAnsi="Times New Roman" w:cs="Times New Roman"/>
          <w:sz w:val="24"/>
          <w:szCs w:val="24"/>
        </w:rPr>
        <w:t xml:space="preserve"> addresses the essential need to prepare youth for regional skills mobility by analyzing cross-cultural online education exchanges between Indonesia, Russia, and Poland. Synthesizing three studies, she highlights that while international virtual guest lectures effectively broaden global mindsets, persistent barriers remain. These include language accents, direct versus indirect communication styles, and internet connectivity disruptions. To bridge these gaps, she recommends that educators adopt multimodal communication, clear language accommodation, and culturally responsive pedagogy. Ultimately, she concludes that governments and universities must invest in digital infrastructure and curriculum design to foster globally competent professionals.</w:t>
      </w:r>
    </w:p>
    <w:p w14:paraId="31218618" w14:textId="77777777" w:rsidR="00575E36" w:rsidRDefault="00575E36" w:rsidP="00575E36">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4AC73419" wp14:editId="2A854CB1">
            <wp:extent cx="5047488" cy="2837826"/>
            <wp:effectExtent l="0" t="0" r="127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r. Rosine Labado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7488" cy="2837826"/>
                    </a:xfrm>
                    <a:prstGeom prst="rect">
                      <a:avLst/>
                    </a:prstGeom>
                  </pic:spPr>
                </pic:pic>
              </a:graphicData>
            </a:graphic>
          </wp:inline>
        </w:drawing>
      </w:r>
    </w:p>
    <w:p w14:paraId="68C6B6B1" w14:textId="6F6B40C2" w:rsidR="00120FED" w:rsidRPr="00120FED" w:rsidRDefault="00120FED" w:rsidP="00120FED">
      <w:pPr>
        <w:jc w:val="center"/>
        <w:rPr>
          <w:rFonts w:ascii="Times New Roman" w:hAnsi="Times New Roman" w:cs="Times New Roman"/>
          <w:color w:val="000000" w:themeColor="text1"/>
        </w:rPr>
      </w:pPr>
      <w:r w:rsidRPr="00120FED">
        <w:rPr>
          <w:rFonts w:ascii="Times New Roman" w:hAnsi="Times New Roman" w:cs="Times New Roman"/>
          <w:color w:val="000000" w:themeColor="text1"/>
        </w:rPr>
        <w:t xml:space="preserve">(Dr. Yoga </w:t>
      </w:r>
      <w:proofErr w:type="spellStart"/>
      <w:r w:rsidRPr="00120FED">
        <w:rPr>
          <w:rFonts w:ascii="Times New Roman" w:hAnsi="Times New Roman" w:cs="Times New Roman"/>
          <w:color w:val="000000" w:themeColor="text1"/>
        </w:rPr>
        <w:t>Prihatin’s</w:t>
      </w:r>
      <w:proofErr w:type="spellEnd"/>
      <w:r w:rsidRPr="00120FED">
        <w:rPr>
          <w:rFonts w:ascii="Times New Roman" w:hAnsi="Times New Roman" w:cs="Times New Roman"/>
          <w:color w:val="000000" w:themeColor="text1"/>
        </w:rPr>
        <w:t xml:space="preserve"> Lecture)</w:t>
      </w:r>
    </w:p>
    <w:p w14:paraId="18529F95" w14:textId="77777777" w:rsidR="00120FED" w:rsidRDefault="00120FED" w:rsidP="00575E36">
      <w:pPr>
        <w:rPr>
          <w:rFonts w:ascii="Times New Roman" w:hAnsi="Times New Roman" w:cs="Times New Roman"/>
          <w:color w:val="000000" w:themeColor="text1"/>
          <w:sz w:val="21"/>
          <w:szCs w:val="21"/>
        </w:rPr>
      </w:pPr>
    </w:p>
    <w:p w14:paraId="1698EA5E" w14:textId="40D4B698" w:rsidR="00E21847" w:rsidRPr="00120FED" w:rsidRDefault="00575E36" w:rsidP="00120FED">
      <w:pPr>
        <w:spacing w:line="360" w:lineRule="auto"/>
        <w:jc w:val="both"/>
        <w:rPr>
          <w:rFonts w:ascii="Times New Roman" w:hAnsi="Times New Roman" w:cs="Times New Roman"/>
          <w:bCs/>
          <w:color w:val="000000" w:themeColor="text1"/>
          <w:sz w:val="24"/>
          <w:szCs w:val="24"/>
        </w:rPr>
      </w:pPr>
      <w:r w:rsidRPr="00120FED">
        <w:rPr>
          <w:rFonts w:ascii="Times New Roman" w:hAnsi="Times New Roman" w:cs="Times New Roman"/>
          <w:b/>
          <w:bCs/>
          <w:sz w:val="24"/>
          <w:szCs w:val="24"/>
        </w:rPr>
        <w:t>Ms. Nguyen Lan Huong</w:t>
      </w:r>
      <w:r w:rsidR="00120FED" w:rsidRPr="00120FED">
        <w:rPr>
          <w:rFonts w:ascii="Times New Roman" w:hAnsi="Times New Roman" w:cs="Times New Roman"/>
          <w:color w:val="000000" w:themeColor="text1"/>
          <w:sz w:val="24"/>
          <w:szCs w:val="24"/>
        </w:rPr>
        <w:t xml:space="preserve">, </w:t>
      </w:r>
      <w:r w:rsidRPr="00120FED">
        <w:rPr>
          <w:rFonts w:ascii="Times New Roman" w:hAnsi="Times New Roman" w:cs="Times New Roman"/>
          <w:sz w:val="24"/>
          <w:szCs w:val="24"/>
        </w:rPr>
        <w:t>Head of Department of International Relations and Project Management, Ho Chi Minh City University of Technology, Vietnam</w:t>
      </w:r>
      <w:r w:rsidR="00120FED" w:rsidRPr="00120FED">
        <w:rPr>
          <w:rFonts w:ascii="Times New Roman" w:hAnsi="Times New Roman" w:cs="Times New Roman"/>
          <w:sz w:val="24"/>
          <w:szCs w:val="24"/>
        </w:rPr>
        <w:t xml:space="preserve"> shared the t</w:t>
      </w:r>
      <w:r w:rsidRPr="00120FED">
        <w:rPr>
          <w:rFonts w:ascii="Times New Roman" w:hAnsi="Times New Roman" w:cs="Times New Roman"/>
          <w:color w:val="000000" w:themeColor="text1"/>
          <w:sz w:val="24"/>
          <w:szCs w:val="24"/>
        </w:rPr>
        <w:t>opic</w:t>
      </w:r>
      <w:r w:rsidRPr="00120FED">
        <w:rPr>
          <w:rFonts w:ascii="Times New Roman" w:hAnsi="Times New Roman" w:cs="Times New Roman"/>
          <w:b/>
          <w:color w:val="000000" w:themeColor="text1"/>
          <w:sz w:val="24"/>
          <w:szCs w:val="24"/>
        </w:rPr>
        <w:t xml:space="preserve">: </w:t>
      </w:r>
      <w:r w:rsidR="00E21847" w:rsidRPr="00120FED">
        <w:rPr>
          <w:rFonts w:ascii="Times New Roman" w:eastAsia="Times New Roman" w:hAnsi="Times New Roman" w:cs="Times New Roman"/>
          <w:bCs/>
          <w:sz w:val="24"/>
          <w:szCs w:val="24"/>
        </w:rPr>
        <w:t>From mobility to employability: Building Skills Beyond Borders</w:t>
      </w:r>
      <w:r w:rsidR="00120FED" w:rsidRPr="00120FED">
        <w:rPr>
          <w:rFonts w:ascii="Times New Roman" w:eastAsia="Times New Roman" w:hAnsi="Times New Roman" w:cs="Times New Roman"/>
          <w:bCs/>
          <w:sz w:val="24"/>
          <w:szCs w:val="24"/>
        </w:rPr>
        <w:t xml:space="preserve">. </w:t>
      </w:r>
      <w:r w:rsidR="00E21847" w:rsidRPr="00120FED">
        <w:rPr>
          <w:rFonts w:ascii="Times New Roman" w:eastAsia="Times New Roman" w:hAnsi="Times New Roman" w:cs="Times New Roman"/>
          <w:sz w:val="24"/>
          <w:szCs w:val="24"/>
        </w:rPr>
        <w:t>In her</w:t>
      </w:r>
      <w:r w:rsidRPr="00120FED">
        <w:rPr>
          <w:rFonts w:ascii="Times New Roman" w:eastAsia="Times New Roman" w:hAnsi="Times New Roman" w:cs="Times New Roman"/>
          <w:sz w:val="24"/>
          <w:szCs w:val="24"/>
        </w:rPr>
        <w:t xml:space="preserve"> presentation</w:t>
      </w:r>
      <w:r w:rsidR="00E21847" w:rsidRPr="00120FED">
        <w:rPr>
          <w:rFonts w:ascii="Times New Roman" w:hAnsi="Times New Roman" w:cs="Times New Roman"/>
          <w:sz w:val="24"/>
          <w:szCs w:val="24"/>
        </w:rPr>
        <w:t xml:space="preserve"> </w:t>
      </w:r>
      <w:r w:rsidR="00E21847" w:rsidRPr="00137B66">
        <w:rPr>
          <w:rFonts w:ascii="Times New Roman" w:hAnsi="Times New Roman" w:cs="Times New Roman"/>
          <w:b/>
          <w:bCs/>
          <w:sz w:val="24"/>
          <w:szCs w:val="24"/>
        </w:rPr>
        <w:t>Ms. Nguyen Lan Huong</w:t>
      </w:r>
      <w:r w:rsidR="00E21847" w:rsidRPr="00120FED">
        <w:rPr>
          <w:rFonts w:ascii="Times New Roman" w:hAnsi="Times New Roman" w:cs="Times New Roman"/>
          <w:sz w:val="24"/>
          <w:szCs w:val="24"/>
        </w:rPr>
        <w:t xml:space="preserve"> outlines a strategic framework for shifting the focus of international education from basic student mobility to sustainable career employability. Citing empirical data from UNESCO, the Erasmus Impact Study, and </w:t>
      </w:r>
      <w:proofErr w:type="spellStart"/>
      <w:r w:rsidR="00E21847" w:rsidRPr="00120FED">
        <w:rPr>
          <w:rFonts w:ascii="Times New Roman" w:hAnsi="Times New Roman" w:cs="Times New Roman"/>
          <w:sz w:val="24"/>
          <w:szCs w:val="24"/>
        </w:rPr>
        <w:t>UUKi</w:t>
      </w:r>
      <w:proofErr w:type="spellEnd"/>
      <w:r w:rsidR="00E21847" w:rsidRPr="00120FED">
        <w:rPr>
          <w:rFonts w:ascii="Times New Roman" w:hAnsi="Times New Roman" w:cs="Times New Roman"/>
          <w:sz w:val="24"/>
          <w:szCs w:val="24"/>
        </w:rPr>
        <w:t xml:space="preserve">, she demonstrates that globally mobile students achieve notably </w:t>
      </w:r>
      <w:r w:rsidR="00E21847" w:rsidRPr="00120FED">
        <w:rPr>
          <w:rFonts w:ascii="Times New Roman" w:hAnsi="Times New Roman" w:cs="Times New Roman"/>
          <w:sz w:val="24"/>
          <w:szCs w:val="24"/>
        </w:rPr>
        <w:lastRenderedPageBreak/>
        <w:t>higher professional-level employment rates and remain significantly less likely to experience long-term unemployment compared to their non-mobile peers. To realize these outcomes, Ho Chi Minh City University of Technology (HUTECH) offers comprehensive internationalization pathways. These initiatives include credit-transfer semester exchanges across eleven distinct academic disciplines, d</w:t>
      </w:r>
      <w:r w:rsidR="00C31311" w:rsidRPr="00120FED">
        <w:rPr>
          <w:rFonts w:ascii="Times New Roman" w:hAnsi="Times New Roman" w:cs="Times New Roman"/>
          <w:sz w:val="24"/>
          <w:szCs w:val="24"/>
        </w:rPr>
        <w:t xml:space="preserve">iverse internship opportunities, </w:t>
      </w:r>
      <w:r w:rsidR="00E21847" w:rsidRPr="00120FED">
        <w:rPr>
          <w:rFonts w:ascii="Times New Roman" w:hAnsi="Times New Roman" w:cs="Times New Roman"/>
          <w:sz w:val="24"/>
          <w:szCs w:val="24"/>
        </w:rPr>
        <w:t>spanning research center assistantships and corporate industry placements utilizing HUTECH’s exten</w:t>
      </w:r>
      <w:r w:rsidR="00C31311" w:rsidRPr="00120FED">
        <w:rPr>
          <w:rFonts w:ascii="Times New Roman" w:hAnsi="Times New Roman" w:cs="Times New Roman"/>
          <w:sz w:val="24"/>
          <w:szCs w:val="24"/>
        </w:rPr>
        <w:t xml:space="preserve">sive network of 5,500 companies, </w:t>
      </w:r>
      <w:r w:rsidR="00E21847" w:rsidRPr="00120FED">
        <w:rPr>
          <w:rFonts w:ascii="Times New Roman" w:hAnsi="Times New Roman" w:cs="Times New Roman"/>
          <w:sz w:val="24"/>
          <w:szCs w:val="24"/>
        </w:rPr>
        <w:t xml:space="preserve">and highly collaborative short-term immersion camps. By integrating cultural exchange with community-centered Design Thinking projects, these programs effectively prepare international youth with the cross-border competencies necessary for the modern workforce. </w:t>
      </w:r>
    </w:p>
    <w:p w14:paraId="0363DC0A" w14:textId="77777777" w:rsidR="00575E36" w:rsidRDefault="00575E36" w:rsidP="00C31311">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785FD4C0" wp14:editId="1621D216">
            <wp:extent cx="5047488" cy="2837826"/>
            <wp:effectExtent l="0" t="0" r="127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r. Sandy Arief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7488" cy="2837826"/>
                    </a:xfrm>
                    <a:prstGeom prst="rect">
                      <a:avLst/>
                    </a:prstGeom>
                  </pic:spPr>
                </pic:pic>
              </a:graphicData>
            </a:graphic>
          </wp:inline>
        </w:drawing>
      </w:r>
    </w:p>
    <w:p w14:paraId="28FD0E7A" w14:textId="7131D980" w:rsidR="00575E36" w:rsidRPr="00120FED" w:rsidRDefault="00120FED" w:rsidP="00120FED">
      <w:pPr>
        <w:jc w:val="center"/>
        <w:rPr>
          <w:rFonts w:ascii="Times New Roman" w:hAnsi="Times New Roman" w:cs="Times New Roman"/>
          <w:color w:val="000000" w:themeColor="text1"/>
        </w:rPr>
      </w:pPr>
      <w:r w:rsidRPr="00120FED">
        <w:rPr>
          <w:rFonts w:ascii="Times New Roman" w:hAnsi="Times New Roman" w:cs="Times New Roman"/>
          <w:color w:val="000000" w:themeColor="text1"/>
        </w:rPr>
        <w:t>(</w:t>
      </w:r>
      <w:r w:rsidRPr="00120FED">
        <w:rPr>
          <w:rFonts w:ascii="Times New Roman" w:hAnsi="Times New Roman" w:cs="Times New Roman"/>
        </w:rPr>
        <w:t>Ms. Nguyen Lan Huong</w:t>
      </w:r>
      <w:r w:rsidRPr="00120FED">
        <w:rPr>
          <w:rFonts w:ascii="Times New Roman" w:hAnsi="Times New Roman" w:cs="Times New Roman"/>
        </w:rPr>
        <w:t>’s Lecture)</w:t>
      </w:r>
    </w:p>
    <w:p w14:paraId="408434A4" w14:textId="2B37D7AD" w:rsidR="00575E36" w:rsidRPr="00120FED" w:rsidRDefault="00E21847" w:rsidP="00120FED">
      <w:pPr>
        <w:spacing w:line="360" w:lineRule="auto"/>
        <w:jc w:val="both"/>
        <w:rPr>
          <w:rFonts w:ascii="Times New Roman" w:eastAsia="Times New Roman" w:hAnsi="Times New Roman" w:cs="Times New Roman"/>
          <w:color w:val="000000"/>
          <w:sz w:val="24"/>
          <w:szCs w:val="24"/>
        </w:rPr>
      </w:pPr>
      <w:r w:rsidRPr="00120FED">
        <w:rPr>
          <w:rFonts w:ascii="Times New Roman" w:eastAsia="Times New Roman" w:hAnsi="Times New Roman" w:cs="Times New Roman"/>
          <w:b/>
          <w:bCs/>
          <w:color w:val="000000"/>
          <w:sz w:val="24"/>
          <w:szCs w:val="24"/>
        </w:rPr>
        <w:t xml:space="preserve">Mr. Nolie Jay N. </w:t>
      </w:r>
      <w:proofErr w:type="spellStart"/>
      <w:r w:rsidRPr="00120FED">
        <w:rPr>
          <w:rFonts w:ascii="Times New Roman" w:eastAsia="Times New Roman" w:hAnsi="Times New Roman" w:cs="Times New Roman"/>
          <w:b/>
          <w:bCs/>
          <w:color w:val="000000"/>
          <w:sz w:val="24"/>
          <w:szCs w:val="24"/>
        </w:rPr>
        <w:t>Ope</w:t>
      </w:r>
      <w:proofErr w:type="spellEnd"/>
      <w:r w:rsidR="00120FED" w:rsidRPr="00120FED">
        <w:rPr>
          <w:rFonts w:ascii="Times New Roman" w:eastAsia="Times New Roman" w:hAnsi="Times New Roman" w:cs="Times New Roman"/>
          <w:b/>
          <w:bCs/>
          <w:color w:val="000000"/>
          <w:sz w:val="24"/>
          <w:szCs w:val="24"/>
        </w:rPr>
        <w:t>,</w:t>
      </w:r>
      <w:r w:rsidR="00120FED" w:rsidRPr="00120FED">
        <w:rPr>
          <w:rFonts w:ascii="Times New Roman" w:eastAsia="Times New Roman" w:hAnsi="Times New Roman" w:cs="Times New Roman"/>
          <w:color w:val="000000"/>
          <w:sz w:val="24"/>
          <w:szCs w:val="24"/>
        </w:rPr>
        <w:t xml:space="preserve"> </w:t>
      </w:r>
      <w:r w:rsidRPr="00120FED">
        <w:rPr>
          <w:rFonts w:ascii="Times New Roman" w:eastAsia="Times New Roman" w:hAnsi="Times New Roman" w:cs="Times New Roman"/>
          <w:sz w:val="24"/>
          <w:szCs w:val="24"/>
        </w:rPr>
        <w:t>Hospitality Industry Practitioner and Lecturer, Arellano University, Philippines</w:t>
      </w:r>
      <w:r w:rsidR="00120FED" w:rsidRPr="00120FED">
        <w:rPr>
          <w:rFonts w:ascii="Times New Roman" w:eastAsia="Times New Roman" w:hAnsi="Times New Roman" w:cs="Times New Roman"/>
          <w:sz w:val="24"/>
          <w:szCs w:val="24"/>
        </w:rPr>
        <w:t xml:space="preserve"> shared the </w:t>
      </w:r>
      <w:r w:rsidR="00120FED" w:rsidRPr="00120FED">
        <w:rPr>
          <w:rFonts w:ascii="Times New Roman" w:eastAsia="Times New Roman" w:hAnsi="Times New Roman" w:cs="Times New Roman"/>
          <w:color w:val="000000"/>
          <w:sz w:val="24"/>
          <w:szCs w:val="24"/>
        </w:rPr>
        <w:t>t</w:t>
      </w:r>
      <w:r w:rsidR="00575E36" w:rsidRPr="00120FED">
        <w:rPr>
          <w:rFonts w:ascii="Times New Roman" w:hAnsi="Times New Roman" w:cs="Times New Roman"/>
          <w:color w:val="000000" w:themeColor="text1"/>
          <w:sz w:val="24"/>
          <w:szCs w:val="24"/>
        </w:rPr>
        <w:t xml:space="preserve">opic: </w:t>
      </w:r>
      <w:r w:rsidRPr="00120FED">
        <w:rPr>
          <w:rFonts w:ascii="Times New Roman" w:eastAsia="Times New Roman" w:hAnsi="Times New Roman" w:cs="Times New Roman"/>
          <w:bCs/>
          <w:color w:val="000000"/>
          <w:sz w:val="24"/>
          <w:szCs w:val="24"/>
        </w:rPr>
        <w:t>Empowering and Facilitating Cross-cultural Engagement</w:t>
      </w:r>
      <w:r w:rsidR="00120FED" w:rsidRPr="00120FED">
        <w:rPr>
          <w:rFonts w:ascii="Times New Roman" w:eastAsia="Times New Roman" w:hAnsi="Times New Roman" w:cs="Times New Roman"/>
          <w:bCs/>
          <w:color w:val="000000"/>
          <w:sz w:val="24"/>
          <w:szCs w:val="24"/>
        </w:rPr>
        <w:t>.</w:t>
      </w:r>
      <w:r w:rsidR="00120FED" w:rsidRPr="00120FED">
        <w:rPr>
          <w:rFonts w:ascii="Times New Roman" w:eastAsia="Times New Roman" w:hAnsi="Times New Roman" w:cs="Times New Roman"/>
          <w:color w:val="000000"/>
          <w:sz w:val="24"/>
          <w:szCs w:val="24"/>
        </w:rPr>
        <w:t xml:space="preserve"> </w:t>
      </w:r>
      <w:r w:rsidR="00C31311" w:rsidRPr="00120FED">
        <w:rPr>
          <w:rFonts w:ascii="Times New Roman" w:hAnsi="Times New Roman" w:cs="Times New Roman"/>
          <w:b/>
          <w:bCs/>
          <w:sz w:val="24"/>
          <w:szCs w:val="24"/>
        </w:rPr>
        <w:t>Mr. Nolie</w:t>
      </w:r>
      <w:r w:rsidR="00C31311" w:rsidRPr="00120FED">
        <w:rPr>
          <w:rFonts w:ascii="Times New Roman" w:hAnsi="Times New Roman" w:cs="Times New Roman"/>
          <w:sz w:val="24"/>
          <w:szCs w:val="24"/>
        </w:rPr>
        <w:t xml:space="preserve"> explores how regional alignment and international mobility can empower young professionals through eco-tourism and cultural integration. He explains that meaningful engagement in the Philippines requires a deep understanding of core cultural values, such as </w:t>
      </w:r>
      <w:r w:rsidR="00C31311" w:rsidRPr="00120FED">
        <w:rPr>
          <w:rFonts w:ascii="Times New Roman" w:hAnsi="Times New Roman" w:cs="Times New Roman"/>
          <w:i/>
          <w:iCs/>
          <w:sz w:val="24"/>
          <w:szCs w:val="24"/>
        </w:rPr>
        <w:t>Bayanihan</w:t>
      </w:r>
      <w:r w:rsidR="00C31311" w:rsidRPr="00120FED">
        <w:rPr>
          <w:rFonts w:ascii="Times New Roman" w:hAnsi="Times New Roman" w:cs="Times New Roman"/>
          <w:sz w:val="24"/>
          <w:szCs w:val="24"/>
        </w:rPr>
        <w:t xml:space="preserve"> (community spirit), </w:t>
      </w:r>
      <w:proofErr w:type="spellStart"/>
      <w:r w:rsidR="00C31311" w:rsidRPr="00120FED">
        <w:rPr>
          <w:rFonts w:ascii="Times New Roman" w:hAnsi="Times New Roman" w:cs="Times New Roman"/>
          <w:i/>
          <w:iCs/>
          <w:sz w:val="24"/>
          <w:szCs w:val="24"/>
        </w:rPr>
        <w:t>Kapwa</w:t>
      </w:r>
      <w:proofErr w:type="spellEnd"/>
      <w:r w:rsidR="00C31311" w:rsidRPr="00120FED">
        <w:rPr>
          <w:rFonts w:ascii="Times New Roman" w:hAnsi="Times New Roman" w:cs="Times New Roman"/>
          <w:sz w:val="24"/>
          <w:szCs w:val="24"/>
        </w:rPr>
        <w:t xml:space="preserve"> (shared identity), </w:t>
      </w:r>
      <w:proofErr w:type="spellStart"/>
      <w:r w:rsidR="00C31311" w:rsidRPr="00120FED">
        <w:rPr>
          <w:rFonts w:ascii="Times New Roman" w:hAnsi="Times New Roman" w:cs="Times New Roman"/>
          <w:i/>
          <w:iCs/>
          <w:sz w:val="24"/>
          <w:szCs w:val="24"/>
        </w:rPr>
        <w:t>Pakikisama</w:t>
      </w:r>
      <w:proofErr w:type="spellEnd"/>
      <w:r w:rsidR="00C31311" w:rsidRPr="00120FED">
        <w:rPr>
          <w:rFonts w:ascii="Times New Roman" w:hAnsi="Times New Roman" w:cs="Times New Roman"/>
          <w:sz w:val="24"/>
          <w:szCs w:val="24"/>
        </w:rPr>
        <w:t xml:space="preserve"> (harmony), and </w:t>
      </w:r>
      <w:r w:rsidR="00C31311" w:rsidRPr="00120FED">
        <w:rPr>
          <w:rFonts w:ascii="Times New Roman" w:hAnsi="Times New Roman" w:cs="Times New Roman"/>
          <w:i/>
          <w:iCs/>
          <w:sz w:val="24"/>
          <w:szCs w:val="24"/>
        </w:rPr>
        <w:t>Hiya</w:t>
      </w:r>
      <w:r w:rsidR="00C31311" w:rsidRPr="00120FED">
        <w:rPr>
          <w:rFonts w:ascii="Times New Roman" w:hAnsi="Times New Roman" w:cs="Times New Roman"/>
          <w:sz w:val="24"/>
          <w:szCs w:val="24"/>
        </w:rPr>
        <w:t xml:space="preserve"> (propriety). To build strong professional partnerships, Mr. Nolie highlights </w:t>
      </w:r>
      <w:r w:rsidR="00380589" w:rsidRPr="00120FED">
        <w:rPr>
          <w:rFonts w:ascii="Times New Roman" w:hAnsi="Times New Roman" w:cs="Times New Roman"/>
          <w:sz w:val="24"/>
          <w:szCs w:val="24"/>
        </w:rPr>
        <w:t>engagement’s</w:t>
      </w:r>
      <w:r w:rsidR="00C31311" w:rsidRPr="00120FED">
        <w:rPr>
          <w:rFonts w:ascii="Times New Roman" w:hAnsi="Times New Roman" w:cs="Times New Roman"/>
          <w:sz w:val="24"/>
          <w:szCs w:val="24"/>
        </w:rPr>
        <w:t xml:space="preserve"> best practices, including using respectful titles, learning basic Tagalog, and smiling warmly. He also </w:t>
      </w:r>
      <w:r w:rsidR="00380589" w:rsidRPr="00120FED">
        <w:rPr>
          <w:rFonts w:ascii="Times New Roman" w:hAnsi="Times New Roman" w:cs="Times New Roman"/>
          <w:sz w:val="24"/>
          <w:szCs w:val="24"/>
        </w:rPr>
        <w:t>shows</w:t>
      </w:r>
      <w:r w:rsidR="00C31311" w:rsidRPr="00120FED">
        <w:rPr>
          <w:rFonts w:ascii="Times New Roman" w:hAnsi="Times New Roman" w:cs="Times New Roman"/>
          <w:sz w:val="24"/>
          <w:szCs w:val="24"/>
        </w:rPr>
        <w:t xml:space="preserve"> the country's rich natural geography, such as the unique Chocolate Hills and the Puerto Princesa Subterranean River, </w:t>
      </w:r>
      <w:r w:rsidR="00C31311" w:rsidRPr="00120FED">
        <w:rPr>
          <w:rFonts w:ascii="Times New Roman" w:hAnsi="Times New Roman" w:cs="Times New Roman"/>
          <w:sz w:val="24"/>
          <w:szCs w:val="24"/>
        </w:rPr>
        <w:lastRenderedPageBreak/>
        <w:t>as major eco-tourism assets. Ultimately, he concludes that structured youth mobility programs provide significant long-term advantages, yielding better employment paths, modern technical skills, universally accepted vocational certifications, and profound personal or cultural growth for young professionals.</w:t>
      </w:r>
    </w:p>
    <w:p w14:paraId="2AE44CC6" w14:textId="77777777" w:rsidR="00575E36" w:rsidRDefault="00575E36" w:rsidP="00575E36">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1B9CA48B" wp14:editId="0EC4273C">
            <wp:extent cx="5047488" cy="2837826"/>
            <wp:effectExtent l="0" t="0" r="127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s. Lailatul Hikmah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7488" cy="2837826"/>
                    </a:xfrm>
                    <a:prstGeom prst="rect">
                      <a:avLst/>
                    </a:prstGeom>
                  </pic:spPr>
                </pic:pic>
              </a:graphicData>
            </a:graphic>
          </wp:inline>
        </w:drawing>
      </w:r>
    </w:p>
    <w:p w14:paraId="13620F90" w14:textId="0F9946FF" w:rsidR="00575E36" w:rsidRPr="00380589" w:rsidRDefault="00380589" w:rsidP="00380589">
      <w:pPr>
        <w:jc w:val="center"/>
        <w:rPr>
          <w:rFonts w:ascii="Times New Roman" w:hAnsi="Times New Roman" w:cs="Times New Roman"/>
          <w:color w:val="000000" w:themeColor="text1"/>
        </w:rPr>
      </w:pPr>
      <w:r w:rsidRPr="00380589">
        <w:rPr>
          <w:rFonts w:ascii="Times New Roman" w:hAnsi="Times New Roman" w:cs="Times New Roman"/>
          <w:color w:val="000000" w:themeColor="text1"/>
        </w:rPr>
        <w:t>(</w:t>
      </w:r>
      <w:r w:rsidRPr="00380589">
        <w:rPr>
          <w:rFonts w:ascii="Times New Roman" w:eastAsia="Times New Roman" w:hAnsi="Times New Roman" w:cs="Times New Roman"/>
          <w:color w:val="000000"/>
        </w:rPr>
        <w:t xml:space="preserve">Mr. Nolie Jay N. </w:t>
      </w:r>
      <w:proofErr w:type="spellStart"/>
      <w:r w:rsidRPr="00380589">
        <w:rPr>
          <w:rFonts w:ascii="Times New Roman" w:eastAsia="Times New Roman" w:hAnsi="Times New Roman" w:cs="Times New Roman"/>
          <w:color w:val="000000"/>
        </w:rPr>
        <w:t>Ope</w:t>
      </w:r>
      <w:r w:rsidRPr="00380589">
        <w:rPr>
          <w:rFonts w:ascii="Times New Roman" w:eastAsia="Times New Roman" w:hAnsi="Times New Roman" w:cs="Times New Roman"/>
          <w:color w:val="000000"/>
        </w:rPr>
        <w:t>’s</w:t>
      </w:r>
      <w:proofErr w:type="spellEnd"/>
      <w:r w:rsidRPr="00380589">
        <w:rPr>
          <w:rFonts w:ascii="Times New Roman" w:eastAsia="Times New Roman" w:hAnsi="Times New Roman" w:cs="Times New Roman"/>
          <w:color w:val="000000"/>
        </w:rPr>
        <w:t xml:space="preserve"> Lecture)</w:t>
      </w:r>
    </w:p>
    <w:p w14:paraId="4922B00B" w14:textId="77777777" w:rsidR="00380589" w:rsidRDefault="00380589" w:rsidP="00575E36">
      <w:pPr>
        <w:jc w:val="both"/>
        <w:rPr>
          <w:rFonts w:ascii="Times New Roman" w:hAnsi="Times New Roman" w:cs="Times New Roman"/>
          <w:color w:val="000000" w:themeColor="text1"/>
          <w:sz w:val="21"/>
          <w:szCs w:val="21"/>
        </w:rPr>
      </w:pPr>
    </w:p>
    <w:p w14:paraId="377BB4DD" w14:textId="142E6138" w:rsidR="00575E36" w:rsidRPr="000D35B0" w:rsidRDefault="00E21847" w:rsidP="000D35B0">
      <w:pPr>
        <w:spacing w:line="360" w:lineRule="auto"/>
        <w:jc w:val="both"/>
        <w:rPr>
          <w:rFonts w:ascii="Times New Roman" w:eastAsia="Times New Roman" w:hAnsi="Times New Roman" w:cs="Times New Roman"/>
          <w:color w:val="000000"/>
          <w:sz w:val="24"/>
          <w:szCs w:val="24"/>
        </w:rPr>
      </w:pPr>
      <w:r w:rsidRPr="000D35B0">
        <w:rPr>
          <w:rFonts w:ascii="Times New Roman" w:eastAsia="Times New Roman" w:hAnsi="Times New Roman" w:cs="Times New Roman"/>
          <w:b/>
          <w:bCs/>
          <w:color w:val="000000"/>
          <w:sz w:val="24"/>
          <w:szCs w:val="24"/>
        </w:rPr>
        <w:t>Mr. Muhammad Ananda Fakhri</w:t>
      </w:r>
      <w:r w:rsidR="00137B66" w:rsidRPr="000D35B0">
        <w:rPr>
          <w:rFonts w:ascii="Times New Roman" w:eastAsia="Times New Roman" w:hAnsi="Times New Roman" w:cs="Times New Roman"/>
          <w:color w:val="000000"/>
          <w:sz w:val="24"/>
          <w:szCs w:val="24"/>
        </w:rPr>
        <w:t xml:space="preserve">, </w:t>
      </w:r>
      <w:r w:rsidRPr="000D35B0">
        <w:rPr>
          <w:rFonts w:ascii="Times New Roman" w:eastAsia="Times New Roman" w:hAnsi="Times New Roman" w:cs="Times New Roman"/>
          <w:sz w:val="24"/>
          <w:szCs w:val="24"/>
        </w:rPr>
        <w:t>Lecturer, Faculty of Economics and Business, Universitas Sumatera Utara, Indonesia</w:t>
      </w:r>
      <w:r w:rsidR="000D35B0" w:rsidRPr="000D35B0">
        <w:rPr>
          <w:rFonts w:ascii="Times New Roman" w:eastAsia="Times New Roman" w:hAnsi="Times New Roman" w:cs="Times New Roman"/>
          <w:sz w:val="24"/>
          <w:szCs w:val="24"/>
        </w:rPr>
        <w:t xml:space="preserve">, shared the </w:t>
      </w:r>
      <w:r w:rsidR="000D35B0" w:rsidRPr="000D35B0">
        <w:rPr>
          <w:rFonts w:ascii="Times New Roman" w:eastAsia="Times New Roman" w:hAnsi="Times New Roman" w:cs="Times New Roman"/>
          <w:color w:val="000000"/>
          <w:sz w:val="24"/>
          <w:szCs w:val="24"/>
        </w:rPr>
        <w:t>t</w:t>
      </w:r>
      <w:r w:rsidR="00575E36" w:rsidRPr="000D35B0">
        <w:rPr>
          <w:rFonts w:ascii="Times New Roman" w:hAnsi="Times New Roman" w:cs="Times New Roman"/>
          <w:color w:val="000000" w:themeColor="text1"/>
          <w:sz w:val="24"/>
          <w:szCs w:val="24"/>
        </w:rPr>
        <w:t xml:space="preserve">opic: </w:t>
      </w:r>
      <w:r w:rsidRPr="000D35B0">
        <w:rPr>
          <w:rFonts w:ascii="Times New Roman" w:eastAsia="Times New Roman" w:hAnsi="Times New Roman" w:cs="Times New Roman"/>
          <w:bCs/>
          <w:color w:val="000000"/>
          <w:sz w:val="24"/>
          <w:szCs w:val="24"/>
        </w:rPr>
        <w:t>Green Money Moves: Why ASEAN Youth Should Invest Differently</w:t>
      </w:r>
      <w:r w:rsidR="000D35B0" w:rsidRPr="000D35B0">
        <w:rPr>
          <w:rFonts w:ascii="Times New Roman" w:eastAsia="Times New Roman" w:hAnsi="Times New Roman" w:cs="Times New Roman"/>
          <w:bCs/>
          <w:color w:val="000000"/>
          <w:sz w:val="24"/>
          <w:szCs w:val="24"/>
        </w:rPr>
        <w:t>.</w:t>
      </w:r>
      <w:r w:rsidR="000D35B0" w:rsidRPr="000D35B0">
        <w:rPr>
          <w:rFonts w:ascii="Times New Roman" w:eastAsia="Times New Roman" w:hAnsi="Times New Roman" w:cs="Times New Roman"/>
          <w:color w:val="000000"/>
          <w:sz w:val="24"/>
          <w:szCs w:val="24"/>
        </w:rPr>
        <w:t xml:space="preserve"> </w:t>
      </w:r>
      <w:r w:rsidR="00C31311" w:rsidRPr="000D35B0">
        <w:rPr>
          <w:rFonts w:ascii="Times New Roman" w:hAnsi="Times New Roman" w:cs="Times New Roman"/>
          <w:sz w:val="24"/>
          <w:szCs w:val="24"/>
        </w:rPr>
        <w:t xml:space="preserve">The presentation from Mr. Muhammad Ananda Fakhri focuses on a financial-engineering case for young investors to transition their capital from cryptocurrency to green and sustainable finance. While individuals under thirty represent a significant majority of individual and crypto investors in Southeast Asia, a "say-do gap" persists where their strong sustainability preferences are not reflected in their portfolios. Crypto successfully captured this demographic by offering access, agency, and a compelling narrative; however, green finance serves as the institutional upgrade. Valued at USD 5.7 to 6 trillion, every dollar in green bonds holds a legal claim on physical, real-world projects. Furthermore, because a 22-year-old investor absorbs decades of accumulating, unpriced climate risk, holding green assets acts as a vital portfolio shield and safe-haven shock absorber. Backed by synchronized regional regulatory frameworks across </w:t>
      </w:r>
      <w:r w:rsidR="00C31311" w:rsidRPr="000D35B0">
        <w:rPr>
          <w:rFonts w:ascii="Times New Roman" w:hAnsi="Times New Roman" w:cs="Times New Roman"/>
          <w:sz w:val="24"/>
          <w:szCs w:val="24"/>
        </w:rPr>
        <w:lastRenderedPageBreak/>
        <w:t>ASEAN and China, investors are urged to build disclosure literacy, audit climate risks, and execute green trades</w:t>
      </w:r>
      <w:r w:rsidR="000D35B0">
        <w:rPr>
          <w:rFonts w:ascii="Times New Roman" w:hAnsi="Times New Roman" w:cs="Times New Roman"/>
          <w:sz w:val="24"/>
          <w:szCs w:val="24"/>
        </w:rPr>
        <w:t xml:space="preserve">. </w:t>
      </w:r>
    </w:p>
    <w:p w14:paraId="1FD6621F" w14:textId="77777777" w:rsidR="00575E36" w:rsidRDefault="00575E36" w:rsidP="00575E36">
      <w:pPr>
        <w:jc w:val="center"/>
        <w:rPr>
          <w:color w:val="000000" w:themeColor="text1"/>
        </w:rPr>
      </w:pPr>
      <w:r>
        <w:rPr>
          <w:rFonts w:hint="eastAsia"/>
          <w:noProof/>
          <w:color w:val="000000" w:themeColor="text1"/>
        </w:rPr>
        <w:drawing>
          <wp:inline distT="0" distB="0" distL="114300" distR="114300" wp14:anchorId="241E1BB8" wp14:editId="37B3FB80">
            <wp:extent cx="5047488" cy="2837826"/>
            <wp:effectExtent l="0" t="0" r="127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r. Alay Phonvisay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7488" cy="2837826"/>
                    </a:xfrm>
                    <a:prstGeom prst="rect">
                      <a:avLst/>
                    </a:prstGeom>
                  </pic:spPr>
                </pic:pic>
              </a:graphicData>
            </a:graphic>
          </wp:inline>
        </w:drawing>
      </w:r>
    </w:p>
    <w:p w14:paraId="7E7EFEF3" w14:textId="37EB97D8" w:rsidR="00575E36" w:rsidRPr="000D35B0" w:rsidRDefault="000D35B0" w:rsidP="00575E36">
      <w:pPr>
        <w:jc w:val="center"/>
        <w:rPr>
          <w:color w:val="000000" w:themeColor="text1"/>
        </w:rPr>
      </w:pPr>
      <w:r w:rsidRPr="000D35B0">
        <w:rPr>
          <w:color w:val="000000" w:themeColor="text1"/>
        </w:rPr>
        <w:t>(</w:t>
      </w:r>
      <w:r w:rsidRPr="000D35B0">
        <w:rPr>
          <w:rFonts w:ascii="Times New Roman" w:eastAsia="Times New Roman" w:hAnsi="Times New Roman" w:cs="Times New Roman"/>
          <w:color w:val="000000"/>
        </w:rPr>
        <w:t>Mr. Muhammad Ananda Fakhri</w:t>
      </w:r>
      <w:r w:rsidRPr="000D35B0">
        <w:rPr>
          <w:rFonts w:ascii="Times New Roman" w:eastAsia="Times New Roman" w:hAnsi="Times New Roman" w:cs="Times New Roman"/>
          <w:color w:val="000000"/>
        </w:rPr>
        <w:t>’s Lecture)</w:t>
      </w:r>
    </w:p>
    <w:p w14:paraId="69079940" w14:textId="77777777" w:rsidR="00575E36" w:rsidRDefault="00575E36" w:rsidP="00575E36"/>
    <w:p w14:paraId="638F1885" w14:textId="77777777" w:rsidR="00EA64FA" w:rsidRDefault="00EA64FA"/>
    <w:sectPr w:rsidR="00EA64F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E57FA" w14:textId="77777777" w:rsidR="00B222D9" w:rsidRDefault="00B222D9" w:rsidP="000C2036">
      <w:pPr>
        <w:spacing w:after="0" w:line="240" w:lineRule="auto"/>
      </w:pPr>
      <w:r>
        <w:separator/>
      </w:r>
    </w:p>
  </w:endnote>
  <w:endnote w:type="continuationSeparator" w:id="0">
    <w:p w14:paraId="20E4A338" w14:textId="77777777" w:rsidR="00B222D9" w:rsidRDefault="00B222D9" w:rsidP="000C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005218"/>
      <w:docPartObj>
        <w:docPartGallery w:val="Page Numbers (Bottom of Page)"/>
        <w:docPartUnique/>
      </w:docPartObj>
    </w:sdtPr>
    <w:sdtEndPr>
      <w:rPr>
        <w:noProof/>
      </w:rPr>
    </w:sdtEndPr>
    <w:sdtContent>
      <w:p w14:paraId="57FF9091" w14:textId="51FBBB72" w:rsidR="000C2036" w:rsidRDefault="000C20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D6F753" w14:textId="77777777" w:rsidR="000C2036" w:rsidRDefault="000C2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E95B5" w14:textId="77777777" w:rsidR="00B222D9" w:rsidRDefault="00B222D9" w:rsidP="000C2036">
      <w:pPr>
        <w:spacing w:after="0" w:line="240" w:lineRule="auto"/>
      </w:pPr>
      <w:r>
        <w:separator/>
      </w:r>
    </w:p>
  </w:footnote>
  <w:footnote w:type="continuationSeparator" w:id="0">
    <w:p w14:paraId="457DF930" w14:textId="77777777" w:rsidR="00B222D9" w:rsidRDefault="00B222D9" w:rsidP="000C20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E36"/>
    <w:rsid w:val="000B5F1E"/>
    <w:rsid w:val="000C2036"/>
    <w:rsid w:val="000D35B0"/>
    <w:rsid w:val="000F43C7"/>
    <w:rsid w:val="00120FED"/>
    <w:rsid w:val="00137B66"/>
    <w:rsid w:val="00214027"/>
    <w:rsid w:val="00380589"/>
    <w:rsid w:val="00575E36"/>
    <w:rsid w:val="00872FE2"/>
    <w:rsid w:val="0096162F"/>
    <w:rsid w:val="00AA07B6"/>
    <w:rsid w:val="00B222D9"/>
    <w:rsid w:val="00C31311"/>
    <w:rsid w:val="00C916CF"/>
    <w:rsid w:val="00DD1DD8"/>
    <w:rsid w:val="00E21847"/>
    <w:rsid w:val="00E54EEA"/>
    <w:rsid w:val="00EA64FA"/>
    <w:rsid w:val="00FC71A0"/>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A7D3F"/>
  <w15:chartTrackingRefBased/>
  <w15:docId w15:val="{87845855-6758-46DC-A5FA-DEE87FAD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7">
    <w:name w:val="citation-7"/>
    <w:basedOn w:val="DefaultParagraphFont"/>
    <w:rsid w:val="00575E36"/>
  </w:style>
  <w:style w:type="character" w:customStyle="1" w:styleId="citation-6">
    <w:name w:val="citation-6"/>
    <w:basedOn w:val="DefaultParagraphFont"/>
    <w:rsid w:val="00575E36"/>
  </w:style>
  <w:style w:type="character" w:customStyle="1" w:styleId="citation-5">
    <w:name w:val="citation-5"/>
    <w:basedOn w:val="DefaultParagraphFont"/>
    <w:rsid w:val="00575E36"/>
  </w:style>
  <w:style w:type="character" w:customStyle="1" w:styleId="citation-4">
    <w:name w:val="citation-4"/>
    <w:basedOn w:val="DefaultParagraphFont"/>
    <w:rsid w:val="00575E36"/>
  </w:style>
  <w:style w:type="paragraph" w:styleId="Header">
    <w:name w:val="header"/>
    <w:basedOn w:val="Normal"/>
    <w:link w:val="HeaderChar"/>
    <w:uiPriority w:val="99"/>
    <w:unhideWhenUsed/>
    <w:rsid w:val="000C2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036"/>
  </w:style>
  <w:style w:type="paragraph" w:styleId="Footer">
    <w:name w:val="footer"/>
    <w:basedOn w:val="Normal"/>
    <w:link w:val="FooterChar"/>
    <w:uiPriority w:val="99"/>
    <w:unhideWhenUsed/>
    <w:rsid w:val="000C2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44255">
      <w:bodyDiv w:val="1"/>
      <w:marLeft w:val="0"/>
      <w:marRight w:val="0"/>
      <w:marTop w:val="0"/>
      <w:marBottom w:val="0"/>
      <w:divBdr>
        <w:top w:val="none" w:sz="0" w:space="0" w:color="auto"/>
        <w:left w:val="none" w:sz="0" w:space="0" w:color="auto"/>
        <w:bottom w:val="none" w:sz="0" w:space="0" w:color="auto"/>
        <w:right w:val="none" w:sz="0" w:space="0" w:color="auto"/>
      </w:divBdr>
    </w:div>
    <w:div w:id="534075422">
      <w:bodyDiv w:val="1"/>
      <w:marLeft w:val="0"/>
      <w:marRight w:val="0"/>
      <w:marTop w:val="0"/>
      <w:marBottom w:val="0"/>
      <w:divBdr>
        <w:top w:val="none" w:sz="0" w:space="0" w:color="auto"/>
        <w:left w:val="none" w:sz="0" w:space="0" w:color="auto"/>
        <w:bottom w:val="none" w:sz="0" w:space="0" w:color="auto"/>
        <w:right w:val="none" w:sz="0" w:space="0" w:color="auto"/>
      </w:divBdr>
    </w:div>
    <w:div w:id="554238376">
      <w:bodyDiv w:val="1"/>
      <w:marLeft w:val="0"/>
      <w:marRight w:val="0"/>
      <w:marTop w:val="0"/>
      <w:marBottom w:val="0"/>
      <w:divBdr>
        <w:top w:val="none" w:sz="0" w:space="0" w:color="auto"/>
        <w:left w:val="none" w:sz="0" w:space="0" w:color="auto"/>
        <w:bottom w:val="none" w:sz="0" w:space="0" w:color="auto"/>
        <w:right w:val="none" w:sz="0" w:space="0" w:color="auto"/>
      </w:divBdr>
    </w:div>
    <w:div w:id="956301629">
      <w:bodyDiv w:val="1"/>
      <w:marLeft w:val="0"/>
      <w:marRight w:val="0"/>
      <w:marTop w:val="0"/>
      <w:marBottom w:val="0"/>
      <w:divBdr>
        <w:top w:val="none" w:sz="0" w:space="0" w:color="auto"/>
        <w:left w:val="none" w:sz="0" w:space="0" w:color="auto"/>
        <w:bottom w:val="none" w:sz="0" w:space="0" w:color="auto"/>
        <w:right w:val="none" w:sz="0" w:space="0" w:color="auto"/>
      </w:divBdr>
    </w:div>
    <w:div w:id="1330139536">
      <w:bodyDiv w:val="1"/>
      <w:marLeft w:val="0"/>
      <w:marRight w:val="0"/>
      <w:marTop w:val="0"/>
      <w:marBottom w:val="0"/>
      <w:divBdr>
        <w:top w:val="none" w:sz="0" w:space="0" w:color="auto"/>
        <w:left w:val="none" w:sz="0" w:space="0" w:color="auto"/>
        <w:bottom w:val="none" w:sz="0" w:space="0" w:color="auto"/>
        <w:right w:val="none" w:sz="0" w:space="0" w:color="auto"/>
      </w:divBdr>
    </w:div>
    <w:div w:id="1738474743">
      <w:bodyDiv w:val="1"/>
      <w:marLeft w:val="0"/>
      <w:marRight w:val="0"/>
      <w:marTop w:val="0"/>
      <w:marBottom w:val="0"/>
      <w:divBdr>
        <w:top w:val="none" w:sz="0" w:space="0" w:color="auto"/>
        <w:left w:val="none" w:sz="0" w:space="0" w:color="auto"/>
        <w:bottom w:val="none" w:sz="0" w:space="0" w:color="auto"/>
        <w:right w:val="none" w:sz="0" w:space="0" w:color="auto"/>
      </w:divBdr>
    </w:div>
    <w:div w:id="1740711467">
      <w:bodyDiv w:val="1"/>
      <w:marLeft w:val="0"/>
      <w:marRight w:val="0"/>
      <w:marTop w:val="0"/>
      <w:marBottom w:val="0"/>
      <w:divBdr>
        <w:top w:val="none" w:sz="0" w:space="0" w:color="auto"/>
        <w:left w:val="none" w:sz="0" w:space="0" w:color="auto"/>
        <w:bottom w:val="none" w:sz="0" w:space="0" w:color="auto"/>
        <w:right w:val="none" w:sz="0" w:space="0" w:color="auto"/>
      </w:divBdr>
    </w:div>
    <w:div w:id="1801418357">
      <w:bodyDiv w:val="1"/>
      <w:marLeft w:val="0"/>
      <w:marRight w:val="0"/>
      <w:marTop w:val="0"/>
      <w:marBottom w:val="0"/>
      <w:divBdr>
        <w:top w:val="none" w:sz="0" w:space="0" w:color="auto"/>
        <w:left w:val="none" w:sz="0" w:space="0" w:color="auto"/>
        <w:bottom w:val="none" w:sz="0" w:space="0" w:color="auto"/>
        <w:right w:val="none" w:sz="0" w:space="0" w:color="auto"/>
      </w:divBdr>
    </w:div>
    <w:div w:id="1813710020">
      <w:bodyDiv w:val="1"/>
      <w:marLeft w:val="0"/>
      <w:marRight w:val="0"/>
      <w:marTop w:val="0"/>
      <w:marBottom w:val="0"/>
      <w:divBdr>
        <w:top w:val="none" w:sz="0" w:space="0" w:color="auto"/>
        <w:left w:val="none" w:sz="0" w:space="0" w:color="auto"/>
        <w:bottom w:val="none" w:sz="0" w:space="0" w:color="auto"/>
        <w:right w:val="none" w:sz="0" w:space="0" w:color="auto"/>
      </w:divBdr>
    </w:div>
    <w:div w:id="2061853902">
      <w:bodyDiv w:val="1"/>
      <w:marLeft w:val="0"/>
      <w:marRight w:val="0"/>
      <w:marTop w:val="0"/>
      <w:marBottom w:val="0"/>
      <w:divBdr>
        <w:top w:val="none" w:sz="0" w:space="0" w:color="auto"/>
        <w:left w:val="none" w:sz="0" w:space="0" w:color="auto"/>
        <w:bottom w:val="none" w:sz="0" w:space="0" w:color="auto"/>
        <w:right w:val="none" w:sz="0" w:space="0" w:color="auto"/>
      </w:divBdr>
    </w:div>
    <w:div w:id="207573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 2023</dc:creator>
  <cp:keywords/>
  <dc:description/>
  <cp:lastModifiedBy>AI Songheang</cp:lastModifiedBy>
  <cp:revision>18</cp:revision>
  <dcterms:created xsi:type="dcterms:W3CDTF">2026-07-07T14:55:00Z</dcterms:created>
  <dcterms:modified xsi:type="dcterms:W3CDTF">2026-07-07T15:13:00Z</dcterms:modified>
</cp:coreProperties>
</file>